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/>
          <w:b/>
          <w:sz w:val="32"/>
          <w:szCs w:val="32"/>
        </w:rPr>
      </w:pPr>
    </w:p>
    <w:p>
      <w:pPr>
        <w:jc w:val="center"/>
        <w:rPr>
          <w:rFonts w:ascii="宋体"/>
          <w:b/>
          <w:sz w:val="32"/>
          <w:szCs w:val="32"/>
        </w:rPr>
      </w:pPr>
    </w:p>
    <w:p>
      <w:pPr>
        <w:jc w:val="center"/>
        <w:rPr>
          <w:rFonts w:ascii="宋体"/>
          <w:b/>
          <w:sz w:val="32"/>
          <w:szCs w:val="32"/>
        </w:rPr>
      </w:pPr>
    </w:p>
    <w:p>
      <w:pPr>
        <w:spacing w:line="360" w:lineRule="auto"/>
        <w:jc w:val="center"/>
        <w:rPr>
          <w:rFonts w:ascii="黑体" w:eastAsia="黑体" w:hAnsiTheme="minorHAnsi" w:cstheme="minorBidi"/>
          <w:b/>
          <w:kern w:val="22"/>
          <w:sz w:val="44"/>
          <w:szCs w:val="44"/>
        </w:rPr>
      </w:pPr>
      <w:r>
        <w:rPr>
          <w:rFonts w:hint="eastAsia" w:ascii="黑体" w:eastAsia="黑体" w:hAnsiTheme="minorHAnsi" w:cstheme="minorBidi"/>
          <w:b/>
          <w:kern w:val="22"/>
          <w:sz w:val="44"/>
          <w:szCs w:val="44"/>
        </w:rPr>
        <w:t>山西省地方标准</w:t>
      </w:r>
    </w:p>
    <w:p>
      <w:pPr>
        <w:spacing w:line="360" w:lineRule="auto"/>
        <w:jc w:val="center"/>
        <w:rPr>
          <w:rFonts w:ascii="黑体" w:eastAsia="黑体" w:hAnsiTheme="minorHAnsi" w:cstheme="minorBidi"/>
          <w:b/>
          <w:kern w:val="22"/>
          <w:sz w:val="44"/>
          <w:szCs w:val="44"/>
        </w:rPr>
      </w:pPr>
      <w:r>
        <w:rPr>
          <w:rFonts w:hint="eastAsia" w:ascii="黑体" w:eastAsia="黑体" w:hAnsiTheme="minorHAnsi" w:cstheme="minorBidi"/>
          <w:b/>
          <w:kern w:val="22"/>
          <w:sz w:val="44"/>
          <w:szCs w:val="44"/>
        </w:rPr>
        <w:t>《</w:t>
      </w:r>
      <w:r>
        <w:rPr>
          <w:rFonts w:hint="eastAsia" w:ascii="黑体" w:eastAsia="黑体" w:hAnsiTheme="minorHAnsi" w:cstheme="minorBidi"/>
          <w:b/>
          <w:kern w:val="22"/>
          <w:sz w:val="44"/>
          <w:szCs w:val="44"/>
          <w:lang w:val="en-US" w:eastAsia="zh-CN"/>
        </w:rPr>
        <w:t>苹果园间伐改形技术规程</w:t>
      </w:r>
      <w:r>
        <w:rPr>
          <w:rFonts w:hint="eastAsia" w:ascii="黑体" w:eastAsia="黑体" w:hAnsiTheme="minorHAnsi" w:cstheme="minorBidi"/>
          <w:b/>
          <w:kern w:val="22"/>
          <w:sz w:val="44"/>
          <w:szCs w:val="44"/>
        </w:rPr>
        <w:t>》</w:t>
      </w:r>
    </w:p>
    <w:p>
      <w:pPr>
        <w:spacing w:line="360" w:lineRule="auto"/>
        <w:jc w:val="center"/>
        <w:rPr>
          <w:rFonts w:ascii="黑体" w:eastAsia="黑体" w:hAnsiTheme="minorHAnsi" w:cstheme="minorBidi"/>
          <w:b/>
          <w:kern w:val="22"/>
          <w:sz w:val="44"/>
          <w:szCs w:val="44"/>
        </w:rPr>
      </w:pPr>
      <w:r>
        <w:rPr>
          <w:rFonts w:hint="eastAsia" w:ascii="黑体" w:eastAsia="黑体" w:hAnsiTheme="minorHAnsi" w:cstheme="minorBidi"/>
          <w:b/>
          <w:kern w:val="22"/>
          <w:sz w:val="44"/>
          <w:szCs w:val="44"/>
        </w:rPr>
        <w:t>编制说明</w:t>
      </w:r>
    </w:p>
    <w:p>
      <w:pPr>
        <w:ind w:firstLine="642" w:firstLineChars="200"/>
        <w:rPr>
          <w:rFonts w:ascii="仿宋" w:hAnsi="仿宋" w:eastAsia="仿宋"/>
          <w:b/>
          <w:sz w:val="32"/>
          <w:szCs w:val="32"/>
        </w:rPr>
      </w:pPr>
    </w:p>
    <w:p>
      <w:pPr>
        <w:ind w:firstLine="642" w:firstLineChars="200"/>
        <w:rPr>
          <w:rFonts w:ascii="仿宋" w:hAnsi="仿宋" w:eastAsia="仿宋"/>
          <w:b/>
          <w:sz w:val="32"/>
          <w:szCs w:val="32"/>
        </w:rPr>
      </w:pPr>
    </w:p>
    <w:p>
      <w:pPr>
        <w:ind w:firstLine="642" w:firstLineChars="200"/>
        <w:rPr>
          <w:rFonts w:ascii="仿宋" w:hAnsi="仿宋" w:eastAsia="仿宋"/>
          <w:b/>
          <w:sz w:val="32"/>
          <w:szCs w:val="32"/>
        </w:rPr>
      </w:pPr>
    </w:p>
    <w:p>
      <w:pPr>
        <w:ind w:firstLine="642" w:firstLineChars="200"/>
        <w:rPr>
          <w:rFonts w:ascii="仿宋" w:hAnsi="仿宋" w:eastAsia="仿宋"/>
          <w:b/>
          <w:sz w:val="32"/>
          <w:szCs w:val="32"/>
        </w:rPr>
      </w:pPr>
    </w:p>
    <w:p>
      <w:pPr>
        <w:ind w:firstLine="642" w:firstLineChars="200"/>
        <w:rPr>
          <w:rFonts w:ascii="仿宋" w:hAnsi="仿宋" w:eastAsia="仿宋"/>
          <w:b/>
          <w:sz w:val="32"/>
          <w:szCs w:val="32"/>
        </w:rPr>
      </w:pPr>
    </w:p>
    <w:p>
      <w:pPr>
        <w:ind w:firstLine="642" w:firstLineChars="200"/>
        <w:rPr>
          <w:rFonts w:ascii="仿宋" w:hAnsi="仿宋" w:eastAsia="仿宋"/>
          <w:b/>
          <w:sz w:val="32"/>
          <w:szCs w:val="32"/>
        </w:rPr>
      </w:pPr>
    </w:p>
    <w:p>
      <w:pPr>
        <w:ind w:firstLine="642" w:firstLineChars="200"/>
        <w:rPr>
          <w:rFonts w:ascii="仿宋" w:hAnsi="仿宋" w:eastAsia="仿宋"/>
          <w:b/>
          <w:sz w:val="32"/>
          <w:szCs w:val="32"/>
        </w:rPr>
      </w:pPr>
    </w:p>
    <w:p>
      <w:pPr>
        <w:ind w:firstLine="642" w:firstLineChars="200"/>
        <w:jc w:val="center"/>
        <w:rPr>
          <w:rFonts w:ascii="仿宋" w:hAnsi="仿宋" w:eastAsia="仿宋"/>
          <w:b/>
          <w:sz w:val="32"/>
          <w:szCs w:val="32"/>
        </w:rPr>
      </w:pPr>
    </w:p>
    <w:p>
      <w:pPr>
        <w:ind w:firstLine="642" w:firstLineChars="200"/>
        <w:jc w:val="center"/>
        <w:rPr>
          <w:rFonts w:ascii="宋体"/>
          <w:b/>
          <w:sz w:val="32"/>
          <w:szCs w:val="32"/>
        </w:rPr>
      </w:pPr>
    </w:p>
    <w:p>
      <w:pPr>
        <w:ind w:firstLine="642" w:firstLineChars="200"/>
        <w:jc w:val="center"/>
        <w:rPr>
          <w:rFonts w:ascii="宋体"/>
          <w:b/>
          <w:sz w:val="32"/>
          <w:szCs w:val="32"/>
        </w:rPr>
      </w:pPr>
    </w:p>
    <w:p>
      <w:pPr>
        <w:ind w:firstLine="642" w:firstLineChars="200"/>
        <w:jc w:val="center"/>
        <w:rPr>
          <w:rFonts w:ascii="宋体"/>
          <w:b/>
          <w:sz w:val="32"/>
          <w:szCs w:val="32"/>
        </w:rPr>
      </w:pPr>
    </w:p>
    <w:p>
      <w:pPr>
        <w:spacing w:line="360" w:lineRule="auto"/>
        <w:jc w:val="center"/>
        <w:rPr>
          <w:rFonts w:hint="default" w:ascii="宋体" w:hAnsi="宋体" w:eastAsia="宋体"/>
          <w:b/>
          <w:kern w:val="22"/>
          <w:sz w:val="10"/>
          <w:szCs w:val="10"/>
          <w:lang w:val="en-US" w:eastAsia="zh-CN"/>
        </w:rPr>
      </w:pPr>
      <w:r>
        <w:rPr>
          <w:rFonts w:hint="eastAsia" w:ascii="宋体" w:hAnsi="宋体"/>
          <w:b/>
          <w:kern w:val="22"/>
          <w:sz w:val="32"/>
          <w:szCs w:val="32"/>
        </w:rPr>
        <w:t>编制单位：</w:t>
      </w:r>
      <w:r>
        <w:rPr>
          <w:rFonts w:hint="eastAsia" w:ascii="宋体" w:hAnsi="宋体"/>
          <w:b/>
          <w:kern w:val="22"/>
          <w:sz w:val="32"/>
          <w:szCs w:val="32"/>
          <w:lang w:val="en-US" w:eastAsia="zh-CN"/>
        </w:rPr>
        <w:t>山西省园艺产业发展中心</w:t>
      </w:r>
    </w:p>
    <w:p>
      <w:pPr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 xml:space="preserve"> 二〇</w:t>
      </w:r>
      <w:r>
        <w:rPr>
          <w:rFonts w:hint="eastAsia" w:ascii="宋体" w:hAnsi="宋体"/>
          <w:b/>
          <w:sz w:val="32"/>
          <w:szCs w:val="32"/>
          <w:lang w:eastAsia="zh-CN"/>
        </w:rPr>
        <w:t>二四</w:t>
      </w:r>
      <w:r>
        <w:rPr>
          <w:rFonts w:hint="eastAsia" w:ascii="宋体" w:hAnsi="宋体"/>
          <w:b/>
          <w:sz w:val="32"/>
          <w:szCs w:val="32"/>
        </w:rPr>
        <w:t>年</w:t>
      </w:r>
      <w:r>
        <w:rPr>
          <w:rFonts w:hint="eastAsia" w:ascii="宋体" w:hAnsi="宋体"/>
          <w:b/>
          <w:sz w:val="32"/>
          <w:szCs w:val="32"/>
          <w:lang w:eastAsia="zh-CN"/>
        </w:rPr>
        <w:t>五</w:t>
      </w:r>
      <w:r>
        <w:rPr>
          <w:rFonts w:hint="eastAsia" w:ascii="宋体" w:hAnsi="宋体"/>
          <w:b/>
          <w:sz w:val="32"/>
          <w:szCs w:val="32"/>
        </w:rPr>
        <w:t>月</w:t>
      </w:r>
    </w:p>
    <w:p>
      <w:pPr>
        <w:jc w:val="center"/>
        <w:rPr>
          <w:rFonts w:ascii="宋体" w:hAnsi="宋体"/>
          <w:b/>
          <w:sz w:val="32"/>
          <w:szCs w:val="32"/>
        </w:rPr>
      </w:pPr>
    </w:p>
    <w:p>
      <w:pPr>
        <w:jc w:val="center"/>
        <w:rPr>
          <w:rFonts w:ascii="宋体" w:hAnsi="宋体"/>
          <w:b/>
          <w:sz w:val="32"/>
          <w:szCs w:val="32"/>
        </w:rPr>
      </w:pPr>
    </w:p>
    <w:p>
      <w:pPr>
        <w:jc w:val="center"/>
        <w:rPr>
          <w:rFonts w:ascii="宋体" w:hAnsi="宋体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asci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山西省地方标准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asci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《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苹果园间伐改形技术规程</w:t>
      </w:r>
      <w:r>
        <w:rPr>
          <w:rFonts w:hint="eastAsia" w:ascii="宋体" w:hAnsi="宋体"/>
          <w:b/>
          <w:sz w:val="30"/>
          <w:szCs w:val="30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编制说明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宋体" w:hAnsi="宋体"/>
          <w:b/>
          <w:sz w:val="30"/>
          <w:szCs w:val="30"/>
        </w:rPr>
      </w:pPr>
    </w:p>
    <w:p>
      <w:pPr>
        <w:spacing w:line="360" w:lineRule="auto"/>
        <w:ind w:firstLine="480" w:firstLineChars="200"/>
        <w:outlineLvl w:val="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一、工作简况</w:t>
      </w:r>
    </w:p>
    <w:p>
      <w:pPr>
        <w:spacing w:line="360" w:lineRule="auto"/>
        <w:ind w:left="465"/>
        <w:outlineLvl w:val="1"/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1任务来源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outlineLvl w:val="1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  <w:lang w:val="en-US" w:eastAsia="zh-CN"/>
        </w:rPr>
        <w:t>按照</w:t>
      </w:r>
      <w:r>
        <w:rPr>
          <w:rFonts w:hint="eastAsia" w:ascii="仿宋_GB2312" w:hAnsi="宋体" w:eastAsia="仿宋_GB2312"/>
          <w:sz w:val="24"/>
        </w:rPr>
        <w:t>山西省市场监督管理局关于2022年度省级地方标准复审结论公告（山西省地方标准公告2022年第20号），《</w:t>
      </w:r>
      <w:r>
        <w:rPr>
          <w:rFonts w:hint="eastAsia" w:ascii="仿宋_GB2312" w:hAnsi="宋体" w:eastAsia="仿宋_GB2312"/>
          <w:sz w:val="24"/>
          <w:lang w:val="en-US" w:eastAsia="zh-CN"/>
        </w:rPr>
        <w:t>苹果园间伐改形技术规程</w:t>
      </w:r>
      <w:r>
        <w:rPr>
          <w:rFonts w:hint="eastAsia" w:ascii="仿宋_GB2312" w:hAnsi="宋体" w:eastAsia="仿宋_GB2312"/>
          <w:sz w:val="24"/>
        </w:rPr>
        <w:t>》DB14/T 1468-2017</w:t>
      </w:r>
      <w:r>
        <w:rPr>
          <w:rFonts w:hint="eastAsia" w:ascii="仿宋_GB2312" w:hAnsi="宋体" w:eastAsia="仿宋_GB2312"/>
          <w:sz w:val="24"/>
          <w:lang w:val="en-US" w:eastAsia="zh-CN"/>
        </w:rPr>
        <w:t>被</w:t>
      </w:r>
      <w:r>
        <w:rPr>
          <w:rFonts w:hint="eastAsia" w:ascii="仿宋_GB2312" w:hAnsi="宋体" w:eastAsia="仿宋_GB2312"/>
          <w:sz w:val="24"/>
        </w:rPr>
        <w:t>列</w:t>
      </w:r>
      <w:r>
        <w:rPr>
          <w:rFonts w:hint="eastAsia" w:ascii="仿宋_GB2312" w:hAnsi="宋体" w:eastAsia="仿宋_GB2312"/>
          <w:sz w:val="24"/>
          <w:lang w:val="en-US" w:eastAsia="zh-CN"/>
        </w:rPr>
        <w:t>入</w:t>
      </w:r>
      <w:r>
        <w:rPr>
          <w:rFonts w:hint="eastAsia" w:ascii="仿宋_GB2312" w:hAnsi="宋体" w:eastAsia="仿宋_GB2312"/>
          <w:sz w:val="24"/>
        </w:rPr>
        <w:t>山西省地方标准修订计划，本标准由山西省农业标准化技术委员会（SXS/TC19）归口。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65"/>
        <w:textAlignment w:val="auto"/>
        <w:outlineLvl w:val="1"/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2 起草</w:t>
      </w:r>
      <w:r>
        <w:rPr>
          <w:rFonts w:ascii="楷体_GB2312" w:eastAsia="楷体_GB2312"/>
          <w:sz w:val="24"/>
        </w:rPr>
        <w:t>单位和主要起草人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outlineLvl w:val="1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起草任务由山西省园艺产业发展中心、临猗县果业发展中心、临猗县双赢果业科技有限公司承担</w:t>
      </w:r>
      <w:r>
        <w:rPr>
          <w:rFonts w:ascii="仿宋_GB2312" w:hAnsi="宋体" w:eastAsia="仿宋_GB2312"/>
          <w:sz w:val="24"/>
        </w:rPr>
        <w:t>。</w:t>
      </w:r>
    </w:p>
    <w:p>
      <w:pPr>
        <w:spacing w:line="360" w:lineRule="auto"/>
        <w:ind w:firstLine="480" w:firstLineChars="200"/>
        <w:jc w:val="center"/>
        <w:outlineLvl w:val="1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主要起草人信息</w:t>
      </w:r>
    </w:p>
    <w:tbl>
      <w:tblPr>
        <w:tblStyle w:val="15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1"/>
        <w:gridCol w:w="969"/>
        <w:gridCol w:w="1659"/>
        <w:gridCol w:w="3492"/>
        <w:gridCol w:w="11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1" w:type="pct"/>
          </w:tcPr>
          <w:p>
            <w:pPr>
              <w:spacing w:line="400" w:lineRule="exact"/>
              <w:jc w:val="center"/>
              <w:rPr>
                <w:rFonts w:ascii="仿宋" w:hAnsi="仿宋" w:eastAsia="仿宋" w:cs="Courier New"/>
                <w:sz w:val="24"/>
              </w:rPr>
            </w:pPr>
            <w:r>
              <w:rPr>
                <w:rFonts w:hint="eastAsia" w:ascii="仿宋" w:hAnsi="仿宋" w:eastAsia="仿宋" w:cs="Courier New"/>
                <w:sz w:val="24"/>
              </w:rPr>
              <w:t>姓名</w:t>
            </w:r>
          </w:p>
        </w:tc>
        <w:tc>
          <w:tcPr>
            <w:tcW w:w="569" w:type="pct"/>
          </w:tcPr>
          <w:p>
            <w:pPr>
              <w:spacing w:line="400" w:lineRule="exact"/>
              <w:jc w:val="center"/>
              <w:rPr>
                <w:rFonts w:ascii="仿宋" w:hAnsi="仿宋" w:eastAsia="仿宋" w:cs="Courier New"/>
                <w:sz w:val="24"/>
              </w:rPr>
            </w:pPr>
            <w:r>
              <w:rPr>
                <w:rFonts w:hint="eastAsia" w:ascii="仿宋" w:hAnsi="仿宋" w:eastAsia="仿宋" w:cs="Courier New"/>
                <w:sz w:val="24"/>
              </w:rPr>
              <w:t>性别</w:t>
            </w:r>
          </w:p>
        </w:tc>
        <w:tc>
          <w:tcPr>
            <w:tcW w:w="974" w:type="pct"/>
          </w:tcPr>
          <w:p>
            <w:pPr>
              <w:spacing w:line="400" w:lineRule="exact"/>
              <w:jc w:val="center"/>
              <w:rPr>
                <w:rFonts w:ascii="仿宋" w:hAnsi="仿宋" w:eastAsia="仿宋" w:cs="Courier New"/>
                <w:sz w:val="24"/>
              </w:rPr>
            </w:pPr>
            <w:r>
              <w:rPr>
                <w:rFonts w:hint="eastAsia" w:ascii="仿宋" w:hAnsi="仿宋" w:eastAsia="仿宋" w:cs="Courier New"/>
                <w:sz w:val="24"/>
              </w:rPr>
              <w:t>职务/职称</w:t>
            </w:r>
          </w:p>
        </w:tc>
        <w:tc>
          <w:tcPr>
            <w:tcW w:w="2050" w:type="pct"/>
          </w:tcPr>
          <w:p>
            <w:pPr>
              <w:spacing w:line="400" w:lineRule="exact"/>
              <w:jc w:val="center"/>
              <w:rPr>
                <w:rFonts w:ascii="仿宋" w:hAnsi="仿宋" w:eastAsia="仿宋" w:cs="Courier New"/>
                <w:sz w:val="24"/>
              </w:rPr>
            </w:pPr>
            <w:r>
              <w:rPr>
                <w:rFonts w:hint="eastAsia" w:ascii="仿宋" w:hAnsi="仿宋" w:eastAsia="仿宋" w:cs="Courier New"/>
                <w:sz w:val="24"/>
              </w:rPr>
              <w:t>工作单位</w:t>
            </w:r>
          </w:p>
        </w:tc>
        <w:tc>
          <w:tcPr>
            <w:tcW w:w="694" w:type="pct"/>
          </w:tcPr>
          <w:p>
            <w:pPr>
              <w:spacing w:line="400" w:lineRule="exact"/>
              <w:jc w:val="center"/>
              <w:rPr>
                <w:rFonts w:ascii="仿宋" w:hAnsi="仿宋" w:eastAsia="仿宋" w:cs="Courier New"/>
                <w:sz w:val="24"/>
              </w:rPr>
            </w:pPr>
            <w:r>
              <w:rPr>
                <w:rFonts w:hint="eastAsia" w:ascii="仿宋" w:hAnsi="仿宋" w:eastAsia="仿宋" w:cs="Courier New"/>
                <w:sz w:val="24"/>
              </w:rPr>
              <w:t>任务分工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  <w:t>刘瑞宇</w:t>
            </w:r>
          </w:p>
        </w:tc>
        <w:tc>
          <w:tcPr>
            <w:tcW w:w="56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97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  <w:t>高级农艺师</w:t>
            </w:r>
          </w:p>
        </w:tc>
        <w:tc>
          <w:tcPr>
            <w:tcW w:w="205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  <w:t>山西省园艺产业发展中心</w:t>
            </w:r>
          </w:p>
        </w:tc>
        <w:tc>
          <w:tcPr>
            <w:tcW w:w="69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  <w:t>文本起草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  <w:t>尉亚妮</w:t>
            </w:r>
          </w:p>
        </w:tc>
        <w:tc>
          <w:tcPr>
            <w:tcW w:w="56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97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  <w:t>高级农艺师</w:t>
            </w:r>
          </w:p>
        </w:tc>
        <w:tc>
          <w:tcPr>
            <w:tcW w:w="205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  <w:t>山西省园艺产业发展中心</w:t>
            </w:r>
          </w:p>
        </w:tc>
        <w:tc>
          <w:tcPr>
            <w:tcW w:w="69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  <w:t>牵头负责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1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sz w:val="21"/>
                <w:szCs w:val="21"/>
                <w:lang w:val="en-US" w:eastAsia="zh-CN"/>
              </w:rPr>
              <w:t>贺光华</w:t>
            </w:r>
          </w:p>
        </w:tc>
        <w:tc>
          <w:tcPr>
            <w:tcW w:w="56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97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  <w:t>高级农艺师</w:t>
            </w:r>
          </w:p>
        </w:tc>
        <w:tc>
          <w:tcPr>
            <w:tcW w:w="205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sz w:val="21"/>
                <w:szCs w:val="21"/>
                <w:lang w:val="en-US" w:eastAsia="zh-CN"/>
              </w:rPr>
              <w:t>山西省三农法律服务中心</w:t>
            </w:r>
          </w:p>
        </w:tc>
        <w:tc>
          <w:tcPr>
            <w:tcW w:w="69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  <w:t>技术验证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  <w:t>王焕英</w:t>
            </w:r>
          </w:p>
        </w:tc>
        <w:tc>
          <w:tcPr>
            <w:tcW w:w="56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97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  <w:t>高级农艺师</w:t>
            </w:r>
          </w:p>
        </w:tc>
        <w:tc>
          <w:tcPr>
            <w:tcW w:w="205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  <w:t>山西省园艺产业发展中心</w:t>
            </w:r>
          </w:p>
        </w:tc>
        <w:tc>
          <w:tcPr>
            <w:tcW w:w="69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  <w:t>技术验证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sz w:val="21"/>
                <w:szCs w:val="21"/>
                <w:lang w:val="en-US" w:eastAsia="zh-CN"/>
              </w:rPr>
              <w:t>郭烨</w:t>
            </w:r>
          </w:p>
        </w:tc>
        <w:tc>
          <w:tcPr>
            <w:tcW w:w="56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97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  <w:t>农艺师</w:t>
            </w:r>
          </w:p>
        </w:tc>
        <w:tc>
          <w:tcPr>
            <w:tcW w:w="205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  <w:t>山西省园艺产业发展中心</w:t>
            </w:r>
          </w:p>
        </w:tc>
        <w:tc>
          <w:tcPr>
            <w:tcW w:w="69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  <w:t>整理数据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  <w:t>江  山</w:t>
            </w:r>
          </w:p>
        </w:tc>
        <w:tc>
          <w:tcPr>
            <w:tcW w:w="56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97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  <w:t>农艺师</w:t>
            </w:r>
          </w:p>
        </w:tc>
        <w:tc>
          <w:tcPr>
            <w:tcW w:w="205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  <w:t>山西省园艺产业发展中心</w:t>
            </w:r>
          </w:p>
        </w:tc>
        <w:tc>
          <w:tcPr>
            <w:tcW w:w="69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  <w:t>整理数据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outlineLvl w:val="0"/>
        <w:rPr>
          <w:rFonts w:ascii="楷体" w:hAnsi="楷体" w:eastAsia="楷体" w:cs="Courier New"/>
          <w:sz w:val="28"/>
          <w:szCs w:val="28"/>
        </w:rPr>
      </w:pPr>
      <w:r>
        <w:rPr>
          <w:rFonts w:ascii="黑体" w:eastAsia="黑体"/>
          <w:sz w:val="24"/>
        </w:rPr>
        <w:t>二、</w:t>
      </w:r>
      <w:r>
        <w:rPr>
          <w:rFonts w:hint="eastAsia" w:ascii="黑体" w:eastAsia="黑体"/>
          <w:sz w:val="24"/>
        </w:rPr>
        <w:t>修</w:t>
      </w:r>
      <w:r>
        <w:rPr>
          <w:rFonts w:ascii="黑体" w:eastAsia="黑体"/>
          <w:sz w:val="24"/>
        </w:rPr>
        <w:t>订标准的必要性和意义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仿宋_GB2312" w:hAnsi="仿宋" w:eastAsia="仿宋_GB2312" w:cs="Times New Roman"/>
          <w:sz w:val="24"/>
          <w:szCs w:val="24"/>
          <w:lang w:val="en-US" w:eastAsia="zh-CN"/>
        </w:rPr>
      </w:pPr>
      <w:r>
        <w:rPr>
          <w:rFonts w:hint="eastAsia" w:ascii="仿宋_GB2312" w:hAnsi="仿宋" w:eastAsia="仿宋_GB2312" w:cs="Times New Roman"/>
          <w:sz w:val="24"/>
          <w:szCs w:val="24"/>
          <w:lang w:val="en-US" w:eastAsia="zh-CN"/>
        </w:rPr>
        <w:t>水果产业是我省特色优势产业，2022年，全省水果产量为1002.8万吨，首次跨越1000万吨台阶。全省苹果种植最多，产量418.3万吨，占水果总量的41.7％。长期以来，随着乔化苹果园果树的额不断生长，出现了群体密闭、树太高，主枝延长头交叉的现象，果树之间互相遮光，严重影响朱提营养合成、花芽质量也不高、果实着色较差。实行间伐改形能够有效的解决果园密闭、光照条件较差的状况，对提高果实质量、降低果树病虫害发生、提高果农收益具有重要的意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outlineLvl w:val="0"/>
        <w:rPr>
          <w:rFonts w:ascii="黑体" w:eastAsia="黑体"/>
          <w:sz w:val="24"/>
        </w:rPr>
      </w:pPr>
      <w:r>
        <w:rPr>
          <w:rFonts w:ascii="黑体" w:eastAsia="黑体"/>
          <w:sz w:val="24"/>
        </w:rPr>
        <w:t>三、主要</w:t>
      </w:r>
      <w:r>
        <w:rPr>
          <w:rFonts w:hint="eastAsia" w:ascii="黑体" w:eastAsia="黑体"/>
          <w:sz w:val="24"/>
        </w:rPr>
        <w:t>修订</w:t>
      </w:r>
      <w:r>
        <w:rPr>
          <w:rFonts w:ascii="黑体" w:eastAsia="黑体"/>
          <w:sz w:val="24"/>
        </w:rPr>
        <w:t>工作过程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eastAsia="仿宋_GB2312"/>
          <w:bCs/>
          <w:sz w:val="24"/>
        </w:rPr>
      </w:pPr>
      <w:r>
        <w:rPr>
          <w:rFonts w:hint="eastAsia" w:eastAsia="仿宋_GB2312"/>
          <w:bCs/>
          <w:sz w:val="24"/>
        </w:rPr>
        <w:t>1、成立标准修订工作组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right="0" w:rightChars="0" w:firstLine="480" w:firstLineChars="200"/>
        <w:textAlignment w:val="auto"/>
        <w:rPr>
          <w:rFonts w:hint="default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2022年3月，成立了由山西省园艺产业发展中心、临猗县果业发展中心、临猗县双赢果业科技有限公司相关人员组成的</w:t>
      </w:r>
      <w:r>
        <w:rPr>
          <w:rFonts w:hint="eastAsia" w:ascii="仿宋_GB2312" w:hAnsi="仿宋_GB2312" w:eastAsia="仿宋_GB2312" w:cs="仿宋_GB2312"/>
          <w:sz w:val="24"/>
          <w:szCs w:val="24"/>
        </w:rPr>
        <w:t>标准起草工作组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，进行了任务分工安排，明确成员职责，着手开展本标准修订的各项工作。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eastAsia="仿宋_GB2312"/>
          <w:bCs/>
          <w:sz w:val="24"/>
        </w:rPr>
      </w:pPr>
      <w:r>
        <w:rPr>
          <w:rFonts w:hint="eastAsia" w:eastAsia="仿宋_GB2312"/>
          <w:bCs/>
          <w:sz w:val="24"/>
        </w:rPr>
        <w:t>2、调研考察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eastAsia="仿宋_GB2312"/>
          <w:bCs/>
          <w:sz w:val="24"/>
          <w:lang w:val="en-US" w:eastAsia="zh-CN"/>
        </w:rPr>
      </w:pPr>
      <w:r>
        <w:rPr>
          <w:rFonts w:hint="eastAsia" w:eastAsia="仿宋_GB2312"/>
          <w:bCs/>
          <w:sz w:val="24"/>
          <w:lang w:val="en-US" w:eastAsia="zh-CN"/>
        </w:rPr>
        <w:t>2022年5月-10月，结合实施项目开展了大量调研工作。始终坚持问题导向和结果导向，聚焦老果园间伐改形的关键环节，实地调查了临猗、万荣、平陆、芮城、吉县、隰县等10个县的老果园，通过发放调查问卷、组织座谈会、专家讨论会、实地考察等方式，全面了解了</w:t>
      </w:r>
      <w:r>
        <w:rPr>
          <w:rFonts w:hint="eastAsia" w:ascii="仿宋_GB2312" w:hAnsi="宋体" w:eastAsia="仿宋_GB2312"/>
          <w:sz w:val="24"/>
          <w:lang w:val="en-US" w:eastAsia="zh-CN"/>
        </w:rPr>
        <w:t>苹果园间伐改形</w:t>
      </w:r>
      <w:r>
        <w:rPr>
          <w:rFonts w:hint="eastAsia" w:eastAsia="仿宋_GB2312"/>
          <w:bCs/>
          <w:sz w:val="24"/>
          <w:lang w:val="en-US" w:eastAsia="zh-CN"/>
        </w:rPr>
        <w:t>的技术流程和技术应用情况，结合近年来</w:t>
      </w:r>
      <w:r>
        <w:rPr>
          <w:rFonts w:hint="eastAsia" w:ascii="仿宋_GB2312" w:hAnsi="宋体" w:eastAsia="仿宋_GB2312"/>
          <w:sz w:val="24"/>
          <w:lang w:val="en-US" w:eastAsia="zh-CN"/>
        </w:rPr>
        <w:t>苹果园间伐改形技术</w:t>
      </w:r>
      <w:r>
        <w:rPr>
          <w:rFonts w:hint="eastAsia" w:eastAsia="仿宋_GB2312"/>
          <w:bCs/>
          <w:sz w:val="24"/>
          <w:lang w:val="en-US" w:eastAsia="zh-CN"/>
        </w:rPr>
        <w:t>试验数据，汇总、分析、整理了我省</w:t>
      </w:r>
      <w:r>
        <w:rPr>
          <w:rFonts w:hint="eastAsia" w:ascii="仿宋_GB2312" w:hAnsi="宋体" w:eastAsia="仿宋_GB2312"/>
          <w:sz w:val="24"/>
          <w:lang w:val="en-US" w:eastAsia="zh-CN"/>
        </w:rPr>
        <w:t>苹果园间伐改形技术</w:t>
      </w:r>
      <w:r>
        <w:rPr>
          <w:rFonts w:hint="eastAsia" w:eastAsia="仿宋_GB2312"/>
          <w:bCs/>
          <w:sz w:val="24"/>
          <w:lang w:val="en-US" w:eastAsia="zh-CN"/>
        </w:rPr>
        <w:t>的主流措施、关键技术及存在问题，为修订工作提供数据支撑。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eastAsia="仿宋_GB2312"/>
          <w:bCs/>
          <w:sz w:val="24"/>
        </w:rPr>
      </w:pPr>
      <w:r>
        <w:rPr>
          <w:rFonts w:hint="eastAsia" w:eastAsia="仿宋_GB2312"/>
          <w:bCs/>
          <w:sz w:val="24"/>
        </w:rPr>
        <w:t>3、收集资料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right="0" w:rightChars="0" w:firstLine="480" w:firstLineChars="200"/>
        <w:textAlignment w:val="auto"/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2022年4月，组织起草工作组学习了标准起草和引用标准的相关内容。查阅学习了GB/T 1.1-2020《标准化工作导则 第1部分：标准化文件的结构和起草规则》、DB14/T 2577-2022《地方标准技术审查工作规范》等标准编写规范资料，学习和了解了标准的编写内容、结构和要求、标准制定程序、审查流程以及有关细节要求，为做好本标准的编写工作打好了基础。同时学习了NY/T 441-2013 苹果生产技术规程、NY/T 1082-2006 黄土高原苹果生产技术规程、NY/T 1084-2006 红富士苹果生产技术规程、NY/T 1505-2007 水果套袋技术规程 苹果等行业标准，为修订工作提供技术参考。在对标准的框架和内容进行讨论后，初步起草了《</w:t>
      </w:r>
      <w:r>
        <w:rPr>
          <w:rFonts w:hint="eastAsia" w:ascii="仿宋_GB2312" w:hAnsi="宋体" w:eastAsia="仿宋_GB2312"/>
          <w:sz w:val="24"/>
          <w:lang w:val="en-US" w:eastAsia="zh-CN"/>
        </w:rPr>
        <w:t>苹果园间伐改形技术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规程》草案。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eastAsia="仿宋_GB2312"/>
          <w:bCs/>
          <w:sz w:val="24"/>
        </w:rPr>
      </w:pPr>
      <w:r>
        <w:rPr>
          <w:rFonts w:hint="eastAsia" w:eastAsia="仿宋_GB2312"/>
          <w:bCs/>
          <w:sz w:val="24"/>
        </w:rPr>
        <w:t>4、修订文本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Times New Roman" w:hAnsi="Times New Roman" w:eastAsia="仿宋_GB2312" w:cs="Times New Roman"/>
          <w:bCs/>
          <w:sz w:val="24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sz w:val="24"/>
          <w:lang w:val="en-US" w:eastAsia="zh-CN"/>
        </w:rPr>
        <w:t>2022年11月-2023年4月，标准起草工作组结合试验示范调研结果，在工作组内进行了讨论研究，进一步修改完善了《</w:t>
      </w:r>
      <w:r>
        <w:rPr>
          <w:rFonts w:hint="eastAsia" w:ascii="仿宋_GB2312" w:hAnsi="宋体" w:eastAsia="仿宋_GB2312"/>
          <w:sz w:val="24"/>
          <w:lang w:val="en-US" w:eastAsia="zh-CN"/>
        </w:rPr>
        <w:t>苹果园间伐改形技术</w:t>
      </w:r>
      <w:r>
        <w:rPr>
          <w:rFonts w:hint="eastAsia" w:ascii="Times New Roman" w:hAnsi="Times New Roman" w:eastAsia="仿宋_GB2312" w:cs="Times New Roman"/>
          <w:bCs/>
          <w:sz w:val="24"/>
          <w:lang w:val="en-US" w:eastAsia="zh-CN"/>
        </w:rPr>
        <w:t>规程》文本和编制说明。2023年5月上中旬，征求了山西农业大学等单位相关专家意见，根据具体实际情况适当采纳，补充完善，形成了《</w:t>
      </w:r>
      <w:r>
        <w:rPr>
          <w:rFonts w:hint="eastAsia" w:ascii="仿宋_GB2312" w:hAnsi="宋体" w:eastAsia="仿宋_GB2312"/>
          <w:sz w:val="24"/>
          <w:lang w:val="en-US" w:eastAsia="zh-CN"/>
        </w:rPr>
        <w:t>苹果园间伐改形技术</w:t>
      </w:r>
      <w:r>
        <w:rPr>
          <w:rFonts w:hint="eastAsia" w:ascii="Times New Roman" w:hAnsi="Times New Roman" w:eastAsia="仿宋_GB2312" w:cs="Times New Roman"/>
          <w:bCs/>
          <w:sz w:val="24"/>
          <w:lang w:val="en-US" w:eastAsia="zh-CN"/>
        </w:rPr>
        <w:t>规程》初审稿。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eastAsia="仿宋_GB2312"/>
          <w:bCs/>
          <w:sz w:val="24"/>
          <w:lang w:eastAsia="zh-CN"/>
        </w:rPr>
      </w:pPr>
      <w:r>
        <w:rPr>
          <w:rFonts w:hint="eastAsia" w:eastAsia="仿宋_GB2312"/>
          <w:bCs/>
          <w:sz w:val="24"/>
        </w:rPr>
        <w:t>5、</w:t>
      </w:r>
      <w:r>
        <w:rPr>
          <w:rFonts w:hint="eastAsia" w:eastAsia="仿宋_GB2312"/>
          <w:bCs/>
          <w:sz w:val="24"/>
          <w:lang w:eastAsia="zh-CN"/>
        </w:rPr>
        <w:t>标准审查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eastAsia="仿宋_GB2312"/>
          <w:bCs/>
          <w:sz w:val="24"/>
          <w:lang w:val="en-US" w:eastAsia="zh-CN"/>
        </w:rPr>
      </w:pPr>
      <w:r>
        <w:rPr>
          <w:rFonts w:hint="eastAsia" w:eastAsia="仿宋_GB2312"/>
          <w:bCs/>
          <w:color w:val="auto"/>
          <w:sz w:val="24"/>
          <w:lang w:val="en-US" w:eastAsia="zh-CN"/>
        </w:rPr>
        <w:t>2024年4月21日，山西省农业标准化技术委员会组织有关专家召开标准审查</w:t>
      </w:r>
      <w:bookmarkStart w:id="0" w:name="_GoBack"/>
      <w:bookmarkEnd w:id="0"/>
      <w:r>
        <w:rPr>
          <w:rFonts w:hint="eastAsia" w:eastAsia="仿宋_GB2312"/>
          <w:bCs/>
          <w:color w:val="auto"/>
          <w:sz w:val="24"/>
          <w:lang w:val="en-US" w:eastAsia="zh-CN"/>
        </w:rPr>
        <w:t>会议，对修订后的《</w:t>
      </w:r>
      <w:r>
        <w:rPr>
          <w:rFonts w:hint="eastAsia" w:ascii="仿宋_GB2312" w:hAnsi="宋体" w:eastAsia="仿宋_GB2312"/>
          <w:sz w:val="24"/>
          <w:lang w:val="en-US" w:eastAsia="zh-CN"/>
        </w:rPr>
        <w:t>苹果园间伐改形技术</w:t>
      </w:r>
      <w:r>
        <w:rPr>
          <w:rFonts w:hint="eastAsia" w:ascii="Times New Roman" w:hAnsi="Times New Roman" w:eastAsia="仿宋_GB2312" w:cs="Times New Roman"/>
          <w:bCs/>
          <w:sz w:val="24"/>
          <w:lang w:val="en-US" w:eastAsia="zh-CN"/>
        </w:rPr>
        <w:t>规程</w:t>
      </w:r>
      <w:r>
        <w:rPr>
          <w:rFonts w:hint="eastAsia" w:eastAsia="仿宋_GB2312"/>
          <w:bCs/>
          <w:color w:val="auto"/>
          <w:sz w:val="24"/>
          <w:lang w:val="en-US" w:eastAsia="zh-CN"/>
        </w:rPr>
        <w:t>》征求意见稿，进行标准审查。与会专家提出合并“间伐改形原则和间伐改形目标”，增加“间伐改形果园”，增加“生产档案”，“完善文件格式”等修改意见。起草组按照评审意见进一步完善修改了《</w:t>
      </w:r>
      <w:r>
        <w:rPr>
          <w:rFonts w:hint="eastAsia" w:ascii="仿宋_GB2312" w:hAnsi="宋体" w:eastAsia="仿宋_GB2312"/>
          <w:sz w:val="24"/>
          <w:lang w:val="en-US" w:eastAsia="zh-CN"/>
        </w:rPr>
        <w:t>苹果园间伐改形技术</w:t>
      </w:r>
      <w:r>
        <w:rPr>
          <w:rFonts w:hint="eastAsia" w:ascii="Times New Roman" w:hAnsi="Times New Roman" w:eastAsia="仿宋_GB2312" w:cs="Times New Roman"/>
          <w:bCs/>
          <w:sz w:val="24"/>
          <w:lang w:val="en-US" w:eastAsia="zh-CN"/>
        </w:rPr>
        <w:t>规程</w:t>
      </w:r>
      <w:r>
        <w:rPr>
          <w:rFonts w:hint="eastAsia" w:eastAsia="仿宋_GB2312"/>
          <w:bCs/>
          <w:color w:val="auto"/>
          <w:sz w:val="24"/>
          <w:lang w:val="en-US" w:eastAsia="zh-CN"/>
        </w:rPr>
        <w:t>》文本。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textAlignment w:val="auto"/>
        <w:outlineLvl w:val="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四</w:t>
      </w:r>
      <w:r>
        <w:rPr>
          <w:rFonts w:ascii="黑体" w:eastAsia="黑体"/>
          <w:sz w:val="24"/>
        </w:rPr>
        <w:t>、</w:t>
      </w:r>
      <w:r>
        <w:rPr>
          <w:rFonts w:hint="eastAsia" w:ascii="黑体" w:eastAsia="黑体"/>
          <w:sz w:val="24"/>
          <w:lang w:eastAsia="zh-CN"/>
        </w:rPr>
        <w:t>制修</w:t>
      </w:r>
      <w:r>
        <w:rPr>
          <w:rFonts w:ascii="黑体" w:eastAsia="黑体"/>
          <w:sz w:val="24"/>
        </w:rPr>
        <w:t>订标准的原则和依据，与现行法律、法规、标准的关系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楷体_GB2312" w:hAnsi="楷体_GB2312" w:eastAsia="楷体_GB2312" w:cs="楷体_GB2312"/>
          <w:bCs/>
          <w:sz w:val="24"/>
          <w:lang w:val="en-US" w:eastAsia="zh-CN"/>
        </w:rPr>
      </w:pPr>
      <w:r>
        <w:rPr>
          <w:rFonts w:hint="eastAsia" w:ascii="楷体_GB2312" w:hAnsi="楷体_GB2312" w:eastAsia="楷体_GB2312" w:cs="楷体_GB2312"/>
          <w:bCs/>
          <w:sz w:val="24"/>
          <w:lang w:val="en-US" w:eastAsia="zh-CN"/>
        </w:rPr>
        <w:t>（一）制定标准的原则和依据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eastAsia="仿宋_GB2312"/>
          <w:bCs/>
          <w:sz w:val="24"/>
          <w:lang w:val="en-US" w:eastAsia="zh-CN"/>
        </w:rPr>
      </w:pPr>
      <w:r>
        <w:rPr>
          <w:rFonts w:hint="eastAsia" w:eastAsia="仿宋_GB2312"/>
          <w:bCs/>
          <w:sz w:val="24"/>
          <w:lang w:val="en-US" w:eastAsia="zh-CN"/>
        </w:rPr>
        <w:t>1.科学性。本标准的确立，综合考虑了山西省苹果生产现状，以高效改造老果园为目标，结合目前试验研究和实践经验，并查阅大量资料和走访调研，通过多次试验验证和生产示范，充分保证了标准的科学性。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eastAsia="仿宋_GB2312"/>
          <w:bCs/>
          <w:sz w:val="24"/>
          <w:lang w:val="en-US" w:eastAsia="zh-CN"/>
        </w:rPr>
      </w:pPr>
      <w:r>
        <w:rPr>
          <w:rFonts w:hint="eastAsia" w:eastAsia="仿宋_GB2312"/>
          <w:bCs/>
          <w:sz w:val="24"/>
          <w:lang w:val="en-US" w:eastAsia="zh-CN"/>
        </w:rPr>
        <w:t>2.适用性。本标准的编写充分考虑了我省老果园现状，结合各地老果园改造的习惯，从间伐改形原则、间伐改形目标、间伐技术、改形技术、花果管理技术、土肥水管理技术、病虫害防治等环节，提出适宜我省应用的</w:t>
      </w:r>
      <w:r>
        <w:rPr>
          <w:rFonts w:hint="eastAsia" w:ascii="仿宋_GB2312" w:hAnsi="宋体" w:eastAsia="仿宋_GB2312"/>
          <w:sz w:val="24"/>
          <w:lang w:val="en-US" w:eastAsia="zh-CN"/>
        </w:rPr>
        <w:t>苹果园间伐改形</w:t>
      </w:r>
      <w:r>
        <w:rPr>
          <w:rFonts w:hint="eastAsia" w:eastAsia="仿宋_GB2312"/>
          <w:bCs/>
          <w:sz w:val="24"/>
          <w:lang w:val="en-US" w:eastAsia="zh-CN"/>
        </w:rPr>
        <w:t>模式，具有适用性。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eastAsia="仿宋_GB2312"/>
          <w:bCs/>
          <w:sz w:val="24"/>
          <w:lang w:val="en-US" w:eastAsia="zh-CN"/>
        </w:rPr>
      </w:pPr>
      <w:r>
        <w:rPr>
          <w:rFonts w:hint="eastAsia" w:eastAsia="仿宋_GB2312"/>
          <w:bCs/>
          <w:sz w:val="24"/>
          <w:lang w:val="en-US" w:eastAsia="zh-CN"/>
        </w:rPr>
        <w:t>3.协调性。在本标准的制定过程中，注重与已发布的标准进行协调，确保我省目前未发布过同类地方标准，同时注意对最新相关标准进行引用，有效提高标准的协调性。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eastAsia="仿宋_GB2312"/>
          <w:bCs/>
          <w:sz w:val="24"/>
          <w:lang w:val="en-US" w:eastAsia="zh-CN"/>
        </w:rPr>
      </w:pPr>
      <w:r>
        <w:rPr>
          <w:rFonts w:hint="eastAsia" w:eastAsia="仿宋_GB2312"/>
          <w:bCs/>
          <w:sz w:val="24"/>
          <w:lang w:val="en-US" w:eastAsia="zh-CN"/>
        </w:rPr>
        <w:t>4.规范性。起草本标准时，严格遵守与标准制定有关的基础标准及相关法律法规。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eastAsia="仿宋_GB2312"/>
          <w:bCs/>
          <w:sz w:val="24"/>
          <w:lang w:val="en-US" w:eastAsia="zh-CN"/>
        </w:rPr>
      </w:pPr>
      <w:r>
        <w:rPr>
          <w:rFonts w:hint="eastAsia" w:eastAsia="仿宋_GB2312"/>
          <w:bCs/>
          <w:sz w:val="24"/>
          <w:lang w:val="en-US" w:eastAsia="zh-CN"/>
        </w:rPr>
        <w:t>本标准的制定，充分依据国家和省级农业政策引导，以及行业内已经出台的相关标准，依托项目研究和应用推广的成果和实践经验，本着科学严谨的态度，经过认真学习、多方验证、反复研讨并充分征求了相关部门和相关专家的意见制定了本标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楷体_GB2312" w:hAnsi="楷体_GB2312" w:eastAsia="楷体_GB2312" w:cs="楷体_GB2312"/>
          <w:bCs/>
          <w:sz w:val="24"/>
          <w:lang w:val="en-US" w:eastAsia="zh-CN"/>
        </w:rPr>
      </w:pPr>
      <w:r>
        <w:rPr>
          <w:rFonts w:hint="eastAsia" w:ascii="楷体_GB2312" w:hAnsi="楷体_GB2312" w:eastAsia="楷体_GB2312" w:cs="楷体_GB2312"/>
          <w:bCs/>
          <w:sz w:val="24"/>
          <w:lang w:val="en-US" w:eastAsia="zh-CN"/>
        </w:rPr>
        <w:t>（二）与现行法律、法规、标准的关系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eastAsia="仿宋_GB2312"/>
          <w:bCs/>
          <w:sz w:val="24"/>
          <w:lang w:val="en-US" w:eastAsia="zh-CN"/>
        </w:rPr>
      </w:pPr>
      <w:r>
        <w:rPr>
          <w:rFonts w:hint="eastAsia" w:eastAsia="仿宋_GB2312"/>
          <w:bCs/>
          <w:sz w:val="24"/>
          <w:lang w:val="en-US" w:eastAsia="zh-CN"/>
        </w:rPr>
        <w:t>本标准的制定遵守国家现行法律、法规，严格按照《中华人民共和国标准化法》、《中华人民共和国农业法》、《中华人民共和国农业技术推广法》等法律和国家技术监督局《农业标准化管理办法》等规章执行。与现行法律、法规和强制性标准没有冲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textAlignment w:val="auto"/>
        <w:outlineLvl w:val="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五</w:t>
      </w:r>
      <w:r>
        <w:rPr>
          <w:rFonts w:ascii="黑体" w:eastAsia="黑体"/>
          <w:sz w:val="24"/>
        </w:rPr>
        <w:t>、主要条款的说明，主要技术指标、参数、试验验证的分析、综合论述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eastAsia="仿宋_GB2312"/>
          <w:bCs/>
          <w:sz w:val="24"/>
          <w:lang w:eastAsia="zh-CN"/>
        </w:rPr>
      </w:pPr>
      <w:r>
        <w:rPr>
          <w:rFonts w:hint="eastAsia" w:eastAsia="仿宋_GB2312"/>
          <w:bCs/>
          <w:sz w:val="24"/>
          <w:lang w:eastAsia="zh-CN"/>
        </w:rPr>
        <w:t>标准起草组以“合法性、安全性、适应性、协调性和先进性”为修订原则，以文本结构更加合理、表述更加准确、技术指标更加科学为修订目标，从</w:t>
      </w:r>
      <w:r>
        <w:rPr>
          <w:rFonts w:hint="eastAsia" w:eastAsia="仿宋_GB2312"/>
          <w:bCs/>
          <w:sz w:val="24"/>
          <w:lang w:val="en-US" w:eastAsia="zh-CN"/>
        </w:rPr>
        <w:t>文本结构、</w:t>
      </w:r>
      <w:r>
        <w:rPr>
          <w:rFonts w:hint="eastAsia" w:eastAsia="仿宋_GB2312"/>
          <w:bCs/>
          <w:sz w:val="24"/>
          <w:lang w:eastAsia="zh-CN"/>
        </w:rPr>
        <w:t>个方面对文本进行了修订，其中：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eastAsia="仿宋_GB2312"/>
          <w:bCs/>
          <w:sz w:val="24"/>
          <w:lang w:val="en-US" w:eastAsia="zh-CN"/>
        </w:rPr>
      </w:pPr>
      <w:r>
        <w:rPr>
          <w:rFonts w:hint="eastAsia" w:eastAsia="仿宋_GB2312"/>
          <w:bCs/>
          <w:sz w:val="24"/>
          <w:lang w:val="en-US" w:eastAsia="zh-CN"/>
        </w:rPr>
        <w:t>1、</w:t>
      </w:r>
      <w:r>
        <w:rPr>
          <w:rFonts w:hint="eastAsia" w:eastAsia="仿宋_GB2312"/>
          <w:bCs/>
          <w:sz w:val="24"/>
        </w:rPr>
        <w:t>涉及</w:t>
      </w:r>
      <w:r>
        <w:rPr>
          <w:rFonts w:hint="eastAsia" w:eastAsia="仿宋_GB2312"/>
          <w:bCs/>
          <w:sz w:val="24"/>
          <w:lang w:eastAsia="zh-CN"/>
        </w:rPr>
        <w:t>结构性调整的主要有</w:t>
      </w:r>
      <w:r>
        <w:rPr>
          <w:rFonts w:hint="eastAsia" w:eastAsia="仿宋_GB2312"/>
          <w:bCs/>
          <w:sz w:val="24"/>
          <w:lang w:val="en-US" w:eastAsia="zh-CN"/>
        </w:rPr>
        <w:t>1项：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eastAsia="仿宋_GB2312"/>
          <w:bCs/>
          <w:sz w:val="24"/>
          <w:lang w:val="en-US" w:eastAsia="zh-CN"/>
        </w:rPr>
      </w:pPr>
      <w:r>
        <w:rPr>
          <w:rFonts w:hint="eastAsia" w:eastAsia="仿宋_GB2312"/>
          <w:bCs/>
          <w:sz w:val="24"/>
          <w:lang w:val="en-US" w:eastAsia="zh-CN"/>
        </w:rPr>
        <w:t>（1）</w:t>
      </w:r>
      <w:r>
        <w:rPr>
          <w:rFonts w:hint="eastAsia" w:eastAsia="仿宋_GB2312"/>
          <w:bCs/>
          <w:sz w:val="24"/>
          <w:lang w:eastAsia="zh-CN"/>
        </w:rPr>
        <w:t>增加了“</w:t>
      </w:r>
      <w:r>
        <w:rPr>
          <w:rFonts w:hint="eastAsia" w:eastAsia="仿宋_GB2312"/>
          <w:bCs/>
          <w:sz w:val="24"/>
          <w:lang w:val="en-US" w:eastAsia="zh-CN"/>
        </w:rPr>
        <w:t>11生产档案</w:t>
      </w:r>
      <w:r>
        <w:rPr>
          <w:rFonts w:hint="eastAsia" w:eastAsia="仿宋_GB2312"/>
          <w:bCs/>
          <w:sz w:val="24"/>
          <w:lang w:eastAsia="zh-CN"/>
        </w:rPr>
        <w:t>”</w:t>
      </w:r>
      <w:r>
        <w:rPr>
          <w:rFonts w:hint="eastAsia" w:eastAsia="仿宋_GB2312"/>
          <w:bCs/>
          <w:sz w:val="24"/>
          <w:lang w:val="en-US" w:eastAsia="zh-CN"/>
        </w:rPr>
        <w:t>。修订原因：原标准无此部分内容。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textAlignment w:val="auto"/>
        <w:rPr>
          <w:rFonts w:hint="default" w:eastAsia="仿宋_GB2312"/>
          <w:bCs/>
          <w:sz w:val="24"/>
          <w:lang w:val="en-US" w:eastAsia="zh-CN"/>
        </w:rPr>
      </w:pPr>
      <w:r>
        <w:rPr>
          <w:rFonts w:hint="eastAsia" w:eastAsia="仿宋_GB2312"/>
          <w:bCs/>
          <w:sz w:val="24"/>
          <w:lang w:val="en-US" w:eastAsia="zh-CN"/>
        </w:rPr>
        <w:t>2、涉及表述与编辑性修改的主要有2项：</w:t>
      </w:r>
    </w:p>
    <w:p>
      <w:pPr>
        <w:pStyle w:val="21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40" w:lineRule="exact"/>
        <w:jc w:val="both"/>
        <w:textAlignment w:val="auto"/>
        <w:rPr>
          <w:rFonts w:hint="eastAsia" w:ascii="Times New Roman" w:hAnsi="Times New Roman" w:eastAsia="仿宋_GB2312" w:cs="Times New Roman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Cs/>
          <w:kern w:val="2"/>
          <w:sz w:val="24"/>
          <w:szCs w:val="24"/>
          <w:lang w:val="en-US" w:eastAsia="zh-CN" w:bidi="ar-SA"/>
        </w:rPr>
        <w:t>（1）更改了引用文件中“DB14/T 748  苹果蜜蜂授粉技术规程</w:t>
      </w:r>
      <w:r>
        <w:rPr>
          <w:rFonts w:hint="eastAsia" w:ascii="Times New Roman" w:eastAsia="仿宋_GB2312" w:cs="Times New Roman"/>
          <w:bCs/>
          <w:kern w:val="2"/>
          <w:sz w:val="24"/>
          <w:szCs w:val="24"/>
          <w:lang w:val="en-US" w:eastAsia="zh-CN" w:bidi="ar-SA"/>
        </w:rPr>
        <w:t>、</w:t>
      </w:r>
      <w:r>
        <w:rPr>
          <w:rFonts w:hint="eastAsia" w:ascii="Times New Roman" w:hAnsi="Times New Roman" w:eastAsia="仿宋_GB2312" w:cs="Times New Roman"/>
          <w:bCs/>
          <w:kern w:val="2"/>
          <w:sz w:val="24"/>
          <w:szCs w:val="24"/>
          <w:lang w:val="en-US" w:eastAsia="zh-CN" w:bidi="ar-SA"/>
        </w:rPr>
        <w:t>DB14/T 806  无公害苹果生产技术规程</w:t>
      </w:r>
      <w:r>
        <w:rPr>
          <w:rFonts w:hint="eastAsia" w:ascii="Times New Roman" w:eastAsia="仿宋_GB2312" w:cs="Times New Roman"/>
          <w:bCs/>
          <w:kern w:val="2"/>
          <w:sz w:val="24"/>
          <w:szCs w:val="24"/>
          <w:lang w:val="en-US" w:eastAsia="zh-CN" w:bidi="ar-SA"/>
        </w:rPr>
        <w:t>、</w:t>
      </w:r>
      <w:r>
        <w:rPr>
          <w:rFonts w:hint="eastAsia" w:ascii="Times New Roman" w:hAnsi="Times New Roman" w:eastAsia="仿宋_GB2312" w:cs="Times New Roman"/>
          <w:bCs/>
          <w:kern w:val="2"/>
          <w:sz w:val="24"/>
          <w:szCs w:val="24"/>
          <w:lang w:val="en-US" w:eastAsia="zh-CN" w:bidi="ar-SA"/>
        </w:rPr>
        <w:t>DB14/T 933  高光效苹果园建设技术规程</w:t>
      </w:r>
      <w:r>
        <w:rPr>
          <w:rFonts w:hint="eastAsia" w:ascii="Times New Roman" w:eastAsia="仿宋_GB2312" w:cs="Times New Roman"/>
          <w:bCs/>
          <w:kern w:val="2"/>
          <w:sz w:val="24"/>
          <w:szCs w:val="24"/>
          <w:lang w:val="en-US" w:eastAsia="zh-CN" w:bidi="ar-SA"/>
        </w:rPr>
        <w:t>、</w:t>
      </w:r>
      <w:r>
        <w:rPr>
          <w:rFonts w:hint="eastAsia" w:ascii="Times New Roman" w:hAnsi="Times New Roman" w:eastAsia="仿宋_GB2312" w:cs="Times New Roman"/>
          <w:bCs/>
          <w:kern w:val="2"/>
          <w:sz w:val="24"/>
          <w:szCs w:val="24"/>
          <w:lang w:val="en-US" w:eastAsia="zh-CN" w:bidi="ar-SA"/>
        </w:rPr>
        <w:t>DB14/T 1184 苹果高光效树形生产技术规程”。修订原因：</w:t>
      </w:r>
      <w:r>
        <w:rPr>
          <w:rFonts w:hint="eastAsia" w:ascii="Times New Roman" w:eastAsia="仿宋_GB2312" w:cs="Times New Roman"/>
          <w:bCs/>
          <w:kern w:val="2"/>
          <w:sz w:val="24"/>
          <w:szCs w:val="24"/>
          <w:lang w:val="en-US" w:eastAsia="zh-CN" w:bidi="ar-SA"/>
        </w:rPr>
        <w:t>此四项文件为检索到或正在修订</w:t>
      </w:r>
      <w:r>
        <w:rPr>
          <w:rFonts w:hint="eastAsia" w:ascii="Times New Roman" w:hAnsi="Times New Roman" w:eastAsia="仿宋_GB2312" w:cs="Times New Roman"/>
          <w:bCs/>
          <w:kern w:val="2"/>
          <w:sz w:val="24"/>
          <w:szCs w:val="24"/>
          <w:lang w:val="en-US" w:eastAsia="zh-CN" w:bidi="ar-SA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textAlignment w:val="auto"/>
        <w:rPr>
          <w:rFonts w:hint="default" w:eastAsia="仿宋_GB2312"/>
          <w:bCs/>
          <w:sz w:val="24"/>
          <w:lang w:val="en-US" w:eastAsia="zh-CN"/>
        </w:rPr>
      </w:pPr>
      <w:r>
        <w:rPr>
          <w:rFonts w:hint="eastAsia" w:eastAsia="仿宋_GB2312"/>
          <w:bCs/>
          <w:sz w:val="24"/>
          <w:lang w:eastAsia="zh-CN"/>
        </w:rPr>
        <w:t>（</w:t>
      </w:r>
      <w:r>
        <w:rPr>
          <w:rFonts w:hint="eastAsia" w:eastAsia="仿宋_GB2312"/>
          <w:bCs/>
          <w:sz w:val="24"/>
          <w:lang w:val="en-US" w:eastAsia="zh-CN"/>
        </w:rPr>
        <w:t>2</w:t>
      </w:r>
      <w:r>
        <w:rPr>
          <w:rFonts w:hint="eastAsia" w:eastAsia="仿宋_GB2312"/>
          <w:bCs/>
          <w:sz w:val="24"/>
          <w:lang w:eastAsia="zh-CN"/>
        </w:rPr>
        <w:t>）更改了原文件中</w:t>
      </w:r>
      <w:r>
        <w:rPr>
          <w:rFonts w:hint="eastAsia" w:eastAsia="仿宋_GB2312"/>
          <w:bCs/>
          <w:sz w:val="24"/>
          <w:lang w:val="en-US" w:eastAsia="zh-CN"/>
        </w:rPr>
        <w:t>“5.1群体目标参数”和“5.2个体目标参数”中有关表述</w:t>
      </w:r>
      <w:r>
        <w:rPr>
          <w:rFonts w:hint="eastAsia" w:eastAsia="仿宋_GB2312"/>
          <w:bCs/>
          <w:sz w:val="24"/>
          <w:lang w:eastAsia="zh-CN"/>
        </w:rPr>
        <w:t>。</w:t>
      </w:r>
      <w:r>
        <w:rPr>
          <w:rFonts w:hint="eastAsia" w:eastAsia="仿宋_GB2312"/>
          <w:bCs/>
          <w:sz w:val="24"/>
          <w:lang w:val="en-US" w:eastAsia="zh-CN"/>
        </w:rPr>
        <w:t>修</w:t>
      </w:r>
      <w:r>
        <w:rPr>
          <w:rFonts w:hint="eastAsia" w:eastAsia="仿宋_GB2312"/>
          <w:bCs/>
          <w:sz w:val="24"/>
          <w:lang w:eastAsia="zh-CN"/>
        </w:rPr>
        <w:t>订</w:t>
      </w:r>
      <w:r>
        <w:rPr>
          <w:rFonts w:hint="eastAsia" w:eastAsia="仿宋_GB2312"/>
          <w:bCs/>
          <w:sz w:val="24"/>
          <w:lang w:val="en-US" w:eastAsia="zh-CN"/>
        </w:rPr>
        <w:t>原因：原表述方式复杂</w:t>
      </w:r>
      <w:r>
        <w:rPr>
          <w:rFonts w:hint="eastAsia" w:eastAsia="仿宋_GB2312"/>
          <w:bCs/>
          <w:sz w:val="24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eastAsia="仿宋_GB2312"/>
          <w:bCs/>
          <w:sz w:val="24"/>
        </w:rPr>
      </w:pPr>
      <w:r>
        <w:rPr>
          <w:rFonts w:hint="eastAsia" w:eastAsia="仿宋_GB2312"/>
          <w:bCs/>
          <w:sz w:val="24"/>
          <w:lang w:val="en-US" w:eastAsia="zh-CN"/>
        </w:rPr>
        <w:t>3、涉及</w:t>
      </w:r>
      <w:r>
        <w:rPr>
          <w:rFonts w:hint="eastAsia" w:eastAsia="仿宋_GB2312"/>
          <w:bCs/>
          <w:sz w:val="24"/>
        </w:rPr>
        <w:t>到的技术指标主要有</w:t>
      </w:r>
      <w:r>
        <w:rPr>
          <w:rFonts w:hint="eastAsia" w:eastAsia="仿宋_GB2312"/>
          <w:bCs/>
          <w:sz w:val="24"/>
          <w:lang w:val="en-US" w:eastAsia="zh-CN"/>
        </w:rPr>
        <w:t>4</w:t>
      </w:r>
      <w:r>
        <w:rPr>
          <w:rFonts w:hint="eastAsia" w:eastAsia="仿宋_GB2312"/>
          <w:bCs/>
          <w:sz w:val="24"/>
        </w:rPr>
        <w:t>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eastAsia="仿宋_GB2312"/>
          <w:bCs/>
          <w:sz w:val="24"/>
          <w:lang w:val="en-US" w:eastAsia="zh-CN"/>
        </w:rPr>
      </w:pPr>
      <w:r>
        <w:rPr>
          <w:rFonts w:hint="eastAsia" w:eastAsia="仿宋_GB2312"/>
          <w:bCs/>
          <w:sz w:val="24"/>
          <w:lang w:eastAsia="zh-CN"/>
        </w:rPr>
        <w:t>（</w:t>
      </w:r>
      <w:r>
        <w:rPr>
          <w:rFonts w:hint="eastAsia" w:eastAsia="仿宋_GB2312"/>
          <w:bCs/>
          <w:sz w:val="24"/>
          <w:lang w:val="en-US" w:eastAsia="zh-CN"/>
        </w:rPr>
        <w:t>1</w:t>
      </w:r>
      <w:r>
        <w:rPr>
          <w:rFonts w:hint="eastAsia" w:eastAsia="仿宋_GB2312"/>
          <w:bCs/>
          <w:sz w:val="24"/>
          <w:lang w:eastAsia="zh-CN"/>
        </w:rPr>
        <w:t>）增加了 “7.1提干”中 “每年的疏枝量不超过全树总枝量的三分之一”的内容（见2017年版的第7章）。修订原因</w:t>
      </w:r>
      <w:r>
        <w:rPr>
          <w:rFonts w:hint="eastAsia" w:eastAsia="仿宋_GB2312"/>
          <w:bCs/>
          <w:sz w:val="24"/>
          <w:lang w:val="en-US" w:eastAsia="zh-CN"/>
        </w:rPr>
        <w:t>及试验验证分析</w:t>
      </w:r>
      <w:r>
        <w:rPr>
          <w:rFonts w:hint="eastAsia" w:eastAsia="仿宋_GB2312"/>
          <w:bCs/>
          <w:sz w:val="24"/>
          <w:lang w:eastAsia="zh-CN"/>
        </w:rPr>
        <w:t>：原文件中未对年疏枝量进行详细的描述，疏枝量太大对树体影响较大，对生产实际的指导作用不高。该技术数据经</w:t>
      </w:r>
      <w:r>
        <w:rPr>
          <w:rFonts w:hint="eastAsia" w:eastAsia="仿宋_GB2312"/>
          <w:bCs/>
          <w:sz w:val="24"/>
          <w:lang w:val="en-US" w:eastAsia="zh-CN"/>
        </w:rPr>
        <w:t>临猗县果业中心技术验证，符合生产实际。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eastAsia="仿宋_GB2312"/>
          <w:bCs/>
          <w:sz w:val="24"/>
          <w:lang w:eastAsia="zh-CN"/>
        </w:rPr>
      </w:pPr>
      <w:r>
        <w:rPr>
          <w:rFonts w:hint="eastAsia" w:eastAsia="仿宋_GB2312"/>
          <w:bCs/>
          <w:sz w:val="24"/>
          <w:lang w:eastAsia="zh-CN"/>
        </w:rPr>
        <w:t>（</w:t>
      </w:r>
      <w:r>
        <w:rPr>
          <w:rFonts w:hint="eastAsia" w:eastAsia="仿宋_GB2312"/>
          <w:bCs/>
          <w:sz w:val="24"/>
          <w:lang w:val="en-US" w:eastAsia="zh-CN"/>
        </w:rPr>
        <w:t>2</w:t>
      </w:r>
      <w:r>
        <w:rPr>
          <w:rFonts w:hint="eastAsia" w:eastAsia="仿宋_GB2312"/>
          <w:bCs/>
          <w:sz w:val="24"/>
          <w:lang w:eastAsia="zh-CN"/>
        </w:rPr>
        <w:t>）增加了 “7.2落头”中“完整疏除1～2个骨干枝”的表述内容（见第7章，2017年版的第7章）； 修订原因及试验验证分析：原文件中未对骨干枝疏除数量做明确规定。该技术数据经</w:t>
      </w:r>
      <w:r>
        <w:rPr>
          <w:rFonts w:hint="eastAsia" w:eastAsia="仿宋_GB2312"/>
          <w:bCs/>
          <w:sz w:val="24"/>
          <w:lang w:val="en-US" w:eastAsia="zh-CN"/>
        </w:rPr>
        <w:t>临猗县果业中心技术验证，符合生产实际。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eastAsia="仿宋_GB2312"/>
          <w:bCs/>
          <w:sz w:val="24"/>
          <w:lang w:eastAsia="zh-CN"/>
        </w:rPr>
      </w:pPr>
      <w:r>
        <w:rPr>
          <w:rFonts w:hint="eastAsia" w:eastAsia="仿宋_GB2312"/>
          <w:bCs/>
          <w:sz w:val="24"/>
          <w:lang w:eastAsia="zh-CN"/>
        </w:rPr>
        <w:t>（</w:t>
      </w:r>
      <w:r>
        <w:rPr>
          <w:rFonts w:hint="eastAsia" w:eastAsia="仿宋_GB2312"/>
          <w:bCs/>
          <w:sz w:val="24"/>
          <w:lang w:val="en-US" w:eastAsia="zh-CN"/>
        </w:rPr>
        <w:t>3</w:t>
      </w:r>
      <w:r>
        <w:rPr>
          <w:rFonts w:hint="eastAsia" w:eastAsia="仿宋_GB2312"/>
          <w:bCs/>
          <w:sz w:val="24"/>
          <w:lang w:eastAsia="zh-CN"/>
        </w:rPr>
        <w:t>）增加了 “7.3疏枝”中“改形后永久性主枝一般为平面的扇形结构”的表述内容；（见第7章，2017年版的第7章）。修订原因及试验验证分析：原文件中未对永久性主枝做详细说明。该技术数据经</w:t>
      </w:r>
      <w:r>
        <w:rPr>
          <w:rFonts w:hint="eastAsia" w:eastAsia="仿宋_GB2312"/>
          <w:bCs/>
          <w:sz w:val="24"/>
          <w:lang w:val="en-US" w:eastAsia="zh-CN"/>
        </w:rPr>
        <w:t>临猗县果业中心技术验证，符合生产实际。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eastAsia="仿宋_GB2312"/>
          <w:bCs/>
          <w:sz w:val="24"/>
          <w:lang w:val="en-US" w:eastAsia="zh-CN"/>
        </w:rPr>
      </w:pPr>
      <w:r>
        <w:rPr>
          <w:rFonts w:hint="eastAsia" w:eastAsia="仿宋_GB2312"/>
          <w:bCs/>
          <w:sz w:val="24"/>
          <w:lang w:eastAsia="zh-CN"/>
        </w:rPr>
        <w:t>（</w:t>
      </w:r>
      <w:r>
        <w:rPr>
          <w:rFonts w:hint="eastAsia" w:eastAsia="仿宋_GB2312"/>
          <w:bCs/>
          <w:sz w:val="24"/>
          <w:lang w:val="en-US" w:eastAsia="zh-CN"/>
        </w:rPr>
        <w:t>4</w:t>
      </w:r>
      <w:r>
        <w:rPr>
          <w:rFonts w:hint="eastAsia" w:eastAsia="仿宋_GB2312"/>
          <w:bCs/>
          <w:sz w:val="24"/>
          <w:lang w:eastAsia="zh-CN"/>
        </w:rPr>
        <w:t>）更改了 “7.4缓放”中“通过3～4年连续缓放”和“已经结果的结果枝通过短截、回缩修剪，不断延伸枝条长度”的内容（见7.4，2016年版的7.4）。修订原因及试验验证分析：原文件中未对缓放做详细说明。该技术数据经</w:t>
      </w:r>
      <w:r>
        <w:rPr>
          <w:rFonts w:hint="eastAsia" w:eastAsia="仿宋_GB2312"/>
          <w:bCs/>
          <w:sz w:val="24"/>
          <w:lang w:val="en-US" w:eastAsia="zh-CN"/>
        </w:rPr>
        <w:t>临猗县果业中心技术验证，符合生产实际。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textAlignment w:val="auto"/>
        <w:outlineLvl w:val="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六</w:t>
      </w:r>
      <w:r>
        <w:rPr>
          <w:rFonts w:ascii="黑体" w:eastAsia="黑体"/>
          <w:sz w:val="24"/>
        </w:rPr>
        <w:t>、</w:t>
      </w:r>
      <w:r>
        <w:rPr>
          <w:rFonts w:hint="eastAsia" w:ascii="黑体" w:eastAsia="黑体"/>
          <w:sz w:val="24"/>
        </w:rPr>
        <w:t>重大</w:t>
      </w:r>
      <w:r>
        <w:rPr>
          <w:rFonts w:ascii="黑体" w:eastAsia="黑体"/>
          <w:sz w:val="24"/>
        </w:rPr>
        <w:t>意见分歧的处理依据和结果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仿宋_GB2312" w:hAnsi="宋体" w:eastAsia="仿宋_GB2312"/>
          <w:sz w:val="24"/>
          <w:lang w:eastAsia="zh-CN"/>
        </w:rPr>
      </w:pPr>
      <w:r>
        <w:rPr>
          <w:rFonts w:hint="eastAsia" w:ascii="仿宋_GB2312" w:hAnsi="宋体" w:eastAsia="仿宋_GB2312"/>
          <w:sz w:val="24"/>
          <w:lang w:val="en-US" w:eastAsia="zh-CN"/>
        </w:rPr>
        <w:t>标准初稿形成后，首先在起草组内部再次进行讨论，对初稿进行了适当的修改和完善。为保证标准的严谨性，起草组征求相关专家的意见，先后向山西农业大学等单位相关专家征求意见，共收到修改意见6条，采纳6条，详见附表。根据专家的意见起草组经过多次研讨对初稿进行了修改，形成讨论稿。本标准无重大意见分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textAlignment w:val="auto"/>
        <w:outlineLvl w:val="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七</w:t>
      </w:r>
      <w:r>
        <w:rPr>
          <w:rFonts w:ascii="黑体" w:eastAsia="黑体"/>
          <w:sz w:val="24"/>
        </w:rPr>
        <w:t>、</w:t>
      </w:r>
      <w:r>
        <w:rPr>
          <w:rFonts w:hint="eastAsia" w:ascii="黑体" w:eastAsia="黑体"/>
          <w:sz w:val="24"/>
        </w:rPr>
        <w:t>采标</w:t>
      </w:r>
      <w:r>
        <w:rPr>
          <w:rFonts w:ascii="黑体" w:eastAsia="黑体"/>
          <w:sz w:val="24"/>
        </w:rPr>
        <w:t>情况，是否合规引用或采用国际标准和国外先进标准，以及与国内外同类标准水平的对比情况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textAlignment w:val="auto"/>
        <w:outlineLvl w:val="0"/>
        <w:rPr>
          <w:rFonts w:hint="eastAsia" w:ascii="仿宋_GB2312" w:hAnsi="宋体" w:eastAsia="仿宋_GB2312"/>
          <w:sz w:val="24"/>
          <w:lang w:val="en-US" w:eastAsia="zh-CN"/>
        </w:rPr>
      </w:pPr>
      <w:r>
        <w:rPr>
          <w:rFonts w:hint="eastAsia" w:ascii="仿宋_GB2312" w:hAnsi="宋体" w:eastAsia="仿宋_GB2312"/>
          <w:sz w:val="24"/>
          <w:lang w:val="en-US" w:eastAsia="zh-CN"/>
        </w:rPr>
        <w:t>目前现行的相关标准有辽宁DB21/T 2417-2015 苹果密植园改形技术规程和昭通DB5306/T 102－2023 乔砧郁闭苹果园间伐改造技术规范等。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textAlignment w:val="auto"/>
        <w:outlineLvl w:val="0"/>
        <w:rPr>
          <w:rFonts w:hint="eastAsia" w:ascii="仿宋_GB2312" w:hAnsi="宋体" w:eastAsia="仿宋_GB2312"/>
          <w:sz w:val="24"/>
          <w:lang w:val="en-US" w:eastAsia="zh-CN"/>
        </w:rPr>
      </w:pPr>
      <w:r>
        <w:rPr>
          <w:rFonts w:hint="eastAsia" w:ascii="仿宋_GB2312" w:hAnsi="宋体" w:eastAsia="仿宋_GB2312"/>
          <w:sz w:val="24"/>
          <w:lang w:val="en-US" w:eastAsia="zh-CN"/>
        </w:rPr>
        <w:t>本标准与现行的同类标准相比较，主要突出了以下内容：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textAlignment w:val="auto"/>
        <w:outlineLvl w:val="0"/>
        <w:rPr>
          <w:rFonts w:hint="eastAsia" w:ascii="仿宋_GB2312" w:hAnsi="宋体" w:eastAsia="仿宋_GB2312"/>
          <w:sz w:val="24"/>
          <w:lang w:val="en-US" w:eastAsia="zh-CN"/>
        </w:rPr>
      </w:pPr>
      <w:r>
        <w:rPr>
          <w:rFonts w:hint="eastAsia" w:ascii="仿宋_GB2312" w:hAnsi="宋体" w:eastAsia="仿宋_GB2312"/>
          <w:sz w:val="24"/>
          <w:lang w:val="en-US" w:eastAsia="zh-CN"/>
        </w:rPr>
        <w:t>1、本标准结合山西省生态环境和目前的种植模式，因地制宜提出了苹果园间伐改形技术，并根据生产实际，对生产中大量应用的提干、落头、</w:t>
      </w:r>
      <w:r>
        <w:rPr>
          <w:rFonts w:hint="eastAsia" w:eastAsia="仿宋_GB2312"/>
          <w:bCs/>
          <w:sz w:val="24"/>
          <w:lang w:eastAsia="zh-CN"/>
        </w:rPr>
        <w:t>疏枝、缓放等</w:t>
      </w:r>
      <w:r>
        <w:rPr>
          <w:rFonts w:hint="eastAsia" w:ascii="仿宋_GB2312" w:hAnsi="宋体" w:eastAsia="仿宋_GB2312"/>
          <w:sz w:val="24"/>
          <w:lang w:val="en-US" w:eastAsia="zh-CN"/>
        </w:rPr>
        <w:t>进行有针对性的修订，使修订后的技术规程更加符合生产实际，更加能指导生产。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textAlignment w:val="auto"/>
        <w:outlineLvl w:val="0"/>
        <w:rPr>
          <w:rFonts w:hint="eastAsia" w:ascii="仿宋_GB2312" w:hAnsi="宋体" w:eastAsia="仿宋_GB2312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宋体" w:eastAsia="仿宋_GB2312" w:cs="Times New Roman"/>
          <w:kern w:val="2"/>
          <w:sz w:val="24"/>
          <w:szCs w:val="24"/>
          <w:lang w:val="en-US" w:eastAsia="zh-CN" w:bidi="ar-SA"/>
        </w:rPr>
        <w:t>2、本标紧密结合山西老果园改造生产实际，并对</w:t>
      </w:r>
      <w:r>
        <w:rPr>
          <w:rFonts w:hint="eastAsia" w:eastAsia="仿宋_GB2312"/>
          <w:bCs/>
          <w:sz w:val="24"/>
          <w:lang w:val="en-US" w:eastAsia="zh-CN"/>
        </w:rPr>
        <w:t>间伐改形原则、间伐改形目标、间伐技术、改形技术、花果管理技术、土肥水管理技术、病虫害防治</w:t>
      </w:r>
      <w:r>
        <w:rPr>
          <w:rFonts w:hint="eastAsia" w:ascii="仿宋_GB2312" w:hAnsi="宋体" w:eastAsia="仿宋_GB2312" w:cs="Times New Roman"/>
          <w:kern w:val="2"/>
          <w:sz w:val="24"/>
          <w:szCs w:val="24"/>
          <w:lang w:val="en-US" w:eastAsia="zh-CN" w:bidi="ar-SA"/>
        </w:rPr>
        <w:t>等关键技术参数进行了优化。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textAlignment w:val="auto"/>
        <w:outlineLvl w:val="0"/>
        <w:rPr>
          <w:rFonts w:hint="eastAsia" w:ascii="仿宋_GB2312" w:hAnsi="宋体" w:eastAsia="仿宋_GB2312"/>
          <w:sz w:val="24"/>
          <w:lang w:val="en-US" w:eastAsia="zh-CN"/>
        </w:rPr>
      </w:pPr>
      <w:r>
        <w:rPr>
          <w:rFonts w:hint="eastAsia" w:ascii="仿宋_GB2312" w:hAnsi="宋体" w:eastAsia="仿宋_GB2312"/>
          <w:sz w:val="24"/>
          <w:lang w:val="en-US" w:eastAsia="zh-CN"/>
        </w:rPr>
        <w:t>3、本标准明确了苹果园间伐改形中提干、落头、</w:t>
      </w:r>
      <w:r>
        <w:rPr>
          <w:rFonts w:hint="eastAsia" w:eastAsia="仿宋_GB2312"/>
          <w:bCs/>
          <w:sz w:val="24"/>
          <w:lang w:eastAsia="zh-CN"/>
        </w:rPr>
        <w:t>疏枝、缓放</w:t>
      </w:r>
      <w:r>
        <w:rPr>
          <w:rFonts w:hint="eastAsia" w:ascii="仿宋_GB2312" w:hAnsi="宋体" w:eastAsia="仿宋_GB2312"/>
          <w:sz w:val="24"/>
          <w:lang w:val="en-US" w:eastAsia="zh-CN"/>
        </w:rPr>
        <w:t>等措施操作流程和关键点，具有较强的可操作性。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textAlignment w:val="auto"/>
        <w:outlineLvl w:val="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八</w:t>
      </w:r>
      <w:r>
        <w:rPr>
          <w:rFonts w:hint="eastAsia" w:ascii="黑体" w:eastAsia="黑体"/>
          <w:sz w:val="24"/>
          <w:lang w:eastAsia="zh-CN"/>
        </w:rPr>
        <w:t>、</w:t>
      </w:r>
      <w:r>
        <w:rPr>
          <w:rFonts w:hint="eastAsia" w:ascii="黑体" w:hAnsi="黑体" w:eastAsia="黑体"/>
          <w:sz w:val="24"/>
          <w:szCs w:val="24"/>
        </w:rPr>
        <w:t>作为推荐性标准或者强制性标准的建议及其理由。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建议本标准为推荐性标准。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textAlignment w:val="auto"/>
        <w:outlineLvl w:val="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九</w:t>
      </w:r>
      <w:r>
        <w:rPr>
          <w:rFonts w:ascii="黑体" w:eastAsia="黑体"/>
          <w:sz w:val="24"/>
        </w:rPr>
        <w:t>、</w:t>
      </w:r>
      <w:r>
        <w:rPr>
          <w:rFonts w:hint="eastAsia" w:ascii="黑体" w:eastAsia="黑体"/>
          <w:sz w:val="24"/>
        </w:rPr>
        <w:t>实施</w:t>
      </w:r>
      <w:r>
        <w:rPr>
          <w:rFonts w:ascii="黑体" w:eastAsia="黑体"/>
          <w:sz w:val="24"/>
        </w:rPr>
        <w:t>标准的措施建议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仿宋_GB2312" w:hAnsi="宋体" w:eastAsia="仿宋_GB2312"/>
          <w:sz w:val="24"/>
        </w:rPr>
      </w:pPr>
      <w:r>
        <w:rPr>
          <w:rFonts w:hint="eastAsia" w:ascii="楷体_GB2312" w:hAnsi="楷体_GB2312" w:eastAsia="楷体_GB2312" w:cs="楷体_GB2312"/>
          <w:sz w:val="24"/>
        </w:rPr>
        <w:t xml:space="preserve"> （一）利用现代化媒体广泛宣传。</w:t>
      </w:r>
      <w:r>
        <w:rPr>
          <w:rFonts w:hint="eastAsia" w:ascii="仿宋_GB2312" w:hAnsi="宋体" w:eastAsia="仿宋_GB2312"/>
          <w:sz w:val="24"/>
        </w:rPr>
        <w:t>本标准颁布实施后，要充分利用网络、电台、报纸、手机短信等媒体广泛宣传，将</w:t>
      </w:r>
      <w:r>
        <w:rPr>
          <w:rFonts w:hint="eastAsia" w:ascii="仿宋_GB2312" w:hAnsi="宋体" w:eastAsia="仿宋_GB2312"/>
          <w:sz w:val="24"/>
          <w:lang w:val="en-US" w:eastAsia="zh-CN"/>
        </w:rPr>
        <w:t>苹果园间伐改形</w:t>
      </w:r>
      <w:r>
        <w:rPr>
          <w:rFonts w:hint="eastAsia" w:ascii="仿宋_GB2312" w:hAnsi="宋体" w:eastAsia="仿宋_GB2312"/>
          <w:sz w:val="24"/>
        </w:rPr>
        <w:t>技术规程普及到基层生产中去。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仿宋_GB2312" w:hAnsi="宋体" w:eastAsia="仿宋_GB2312"/>
          <w:sz w:val="24"/>
        </w:rPr>
      </w:pPr>
      <w:r>
        <w:rPr>
          <w:rFonts w:hint="eastAsia" w:ascii="楷体_GB2312" w:hAnsi="楷体_GB2312" w:eastAsia="楷体_GB2312" w:cs="楷体_GB2312"/>
          <w:sz w:val="24"/>
        </w:rPr>
        <w:t>（二）举办培训班、深入生产一线技术指导。</w:t>
      </w:r>
      <w:r>
        <w:rPr>
          <w:rFonts w:hint="eastAsia" w:ascii="仿宋_GB2312" w:hAnsi="宋体" w:eastAsia="仿宋_GB2312"/>
          <w:sz w:val="24"/>
        </w:rPr>
        <w:t>在标准发布实施的初期，要通过举办培训班、召开现场会、专家讲座、田间学校等方式加强农技人员应用标准、推广标准的指导工作。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仿宋_GB2312" w:hAnsi="宋体" w:eastAsia="仿宋_GB2312"/>
          <w:sz w:val="24"/>
        </w:rPr>
      </w:pPr>
      <w:r>
        <w:rPr>
          <w:rFonts w:hint="eastAsia" w:ascii="楷体_GB2312" w:hAnsi="楷体_GB2312" w:eastAsia="楷体_GB2312" w:cs="楷体_GB2312"/>
          <w:sz w:val="24"/>
        </w:rPr>
        <w:t>（三）建立标准化示范区，以点带面，辐射推广。</w:t>
      </w:r>
      <w:r>
        <w:rPr>
          <w:rFonts w:hint="eastAsia" w:ascii="仿宋_GB2312" w:hAnsi="宋体" w:eastAsia="仿宋_GB2312"/>
          <w:sz w:val="24"/>
        </w:rPr>
        <w:t>充分利用中央和省级专项资金及各地政府的资金，建立示范基地，以点带面，全面推动本标准的广泛实施。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仿宋_GB2312" w:hAnsi="宋体" w:eastAsia="仿宋_GB2312"/>
          <w:sz w:val="24"/>
          <w:lang w:val="en-US" w:eastAsia="zh-CN"/>
        </w:rPr>
        <w:sectPr>
          <w:footerReference r:id="rId3" w:type="default"/>
          <w:pgSz w:w="11906" w:h="16838"/>
          <w:pgMar w:top="1440" w:right="1803" w:bottom="1440" w:left="1803" w:header="851" w:footer="992" w:gutter="0"/>
          <w:pgNumType w:start="1"/>
          <w:cols w:space="0" w:num="1"/>
          <w:titlePg/>
          <w:rtlGutter w:val="0"/>
          <w:docGrid w:type="lines" w:linePitch="319" w:charSpace="0"/>
        </w:sectPr>
      </w:pPr>
    </w:p>
    <w:p>
      <w:pPr>
        <w:spacing w:line="360" w:lineRule="auto"/>
        <w:ind w:firstLine="480" w:firstLineChars="200"/>
        <w:jc w:val="left"/>
        <w:rPr>
          <w:rFonts w:hint="eastAsia" w:ascii="仿宋_GB2312" w:hAnsi="宋体" w:eastAsia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sz w:val="24"/>
          <w:lang w:val="en-US" w:eastAsia="zh-CN"/>
        </w:rPr>
        <w:t>附表</w:t>
      </w:r>
    </w:p>
    <w:p>
      <w:pPr>
        <w:jc w:val="center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/>
          <w:bCs/>
          <w:sz w:val="28"/>
          <w:szCs w:val="28"/>
          <w:lang w:val="en-US" w:eastAsia="zh-CN"/>
        </w:rPr>
        <w:t>《苹果园间伐改形技术规程》征求意见汇总处理表</w:t>
      </w:r>
    </w:p>
    <w:p>
      <w:pPr>
        <w:snapToGrid w:val="0"/>
        <w:spacing w:line="360" w:lineRule="auto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</w:p>
    <w:p>
      <w:pPr>
        <w:snapToGrid w:val="0"/>
        <w:spacing w:line="360" w:lineRule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起草单位：山西省</w:t>
      </w:r>
      <w:r>
        <w:rPr>
          <w:rFonts w:hint="eastAsia" w:cs="Times New Roman"/>
          <w:sz w:val="21"/>
          <w:szCs w:val="21"/>
          <w:lang w:val="en-US" w:eastAsia="zh-CN"/>
        </w:rPr>
        <w:t>园艺产业发展中心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 xml:space="preserve">   承办人：</w:t>
      </w:r>
      <w:r>
        <w:rPr>
          <w:rFonts w:hint="eastAsia" w:cs="Times New Roman"/>
          <w:sz w:val="21"/>
          <w:szCs w:val="21"/>
          <w:lang w:val="en-US" w:eastAsia="zh-CN"/>
        </w:rPr>
        <w:t>刘瑞宇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 xml:space="preserve">                       联系电话：</w:t>
      </w:r>
      <w:r>
        <w:rPr>
          <w:rFonts w:hint="eastAsia" w:cs="Times New Roman"/>
          <w:sz w:val="21"/>
          <w:szCs w:val="21"/>
          <w:lang w:val="en-US" w:eastAsia="zh-CN"/>
        </w:rPr>
        <w:t>13613446040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 xml:space="preserve">              填写时间：202</w:t>
      </w:r>
      <w:r>
        <w:rPr>
          <w:rFonts w:hint="eastAsia" w:cs="Times New Roman"/>
          <w:sz w:val="21"/>
          <w:szCs w:val="21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.</w:t>
      </w:r>
      <w:r>
        <w:rPr>
          <w:rFonts w:hint="eastAsia" w:cs="Times New Roman"/>
          <w:sz w:val="21"/>
          <w:szCs w:val="21"/>
          <w:lang w:val="en-US" w:eastAsia="zh-CN"/>
        </w:rPr>
        <w:t>12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.</w:t>
      </w:r>
      <w:r>
        <w:rPr>
          <w:rFonts w:hint="eastAsia" w:cs="Times New Roman"/>
          <w:sz w:val="21"/>
          <w:szCs w:val="21"/>
          <w:lang w:val="en-US" w:eastAsia="zh-CN"/>
        </w:rPr>
        <w:t>10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1250"/>
        <w:gridCol w:w="5024"/>
        <w:gridCol w:w="3082"/>
        <w:gridCol w:w="1643"/>
        <w:gridCol w:w="23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noWrap w:val="0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250" w:type="dxa"/>
            <w:noWrap w:val="0"/>
            <w:vAlign w:val="center"/>
          </w:tcPr>
          <w:p>
            <w:pPr>
              <w:snapToGrid w:val="0"/>
              <w:spacing w:line="30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地方标准</w:t>
            </w:r>
          </w:p>
          <w:p>
            <w:pPr>
              <w:snapToGrid w:val="0"/>
              <w:spacing w:line="30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章条编号</w:t>
            </w:r>
          </w:p>
        </w:tc>
        <w:tc>
          <w:tcPr>
            <w:tcW w:w="5024" w:type="dxa"/>
            <w:noWrap w:val="0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意见内容</w:t>
            </w:r>
          </w:p>
        </w:tc>
        <w:tc>
          <w:tcPr>
            <w:tcW w:w="3082" w:type="dxa"/>
            <w:noWrap w:val="0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提出单位</w:t>
            </w:r>
          </w:p>
        </w:tc>
        <w:tc>
          <w:tcPr>
            <w:tcW w:w="1643" w:type="dxa"/>
            <w:noWrap w:val="0"/>
            <w:vAlign w:val="center"/>
          </w:tcPr>
          <w:p>
            <w:pPr>
              <w:snapToGrid w:val="0"/>
              <w:spacing w:line="30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处理意见</w:t>
            </w:r>
          </w:p>
          <w:p>
            <w:pPr>
              <w:snapToGrid w:val="0"/>
              <w:spacing w:line="30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（采纳/不采纳）</w:t>
            </w:r>
          </w:p>
        </w:tc>
        <w:tc>
          <w:tcPr>
            <w:tcW w:w="2363" w:type="dxa"/>
            <w:noWrap w:val="0"/>
            <w:vAlign w:val="center"/>
          </w:tcPr>
          <w:p>
            <w:pPr>
              <w:snapToGrid w:val="0"/>
              <w:spacing w:line="30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意见处理说明</w:t>
            </w:r>
          </w:p>
          <w:p>
            <w:pPr>
              <w:snapToGrid w:val="0"/>
              <w:spacing w:line="30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（不采纳理由等）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125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</w:p>
        </w:tc>
        <w:tc>
          <w:tcPr>
            <w:tcW w:w="5024" w:type="dxa"/>
            <w:noWrap w:val="0"/>
            <w:vAlign w:val="center"/>
          </w:tcPr>
          <w:p>
            <w:pPr>
              <w:pStyle w:val="21"/>
              <w:widowControl w:val="0"/>
              <w:ind w:left="0" w:leftChars="0" w:firstLine="0" w:firstLineChars="0"/>
              <w:rPr>
                <w:rFonts w:hint="eastAsia" w:ascii="宋体" w:hAnsi="Times New Roman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lang w:val="en-US" w:eastAsia="zh-CN"/>
              </w:rPr>
              <w:t>规范性引用文件中删除“</w:t>
            </w:r>
            <w:r>
              <w:rPr>
                <w:rFonts w:hint="eastAsia"/>
                <w:color w:val="000000"/>
              </w:rPr>
              <w:t>DB14/T 748  苹果蜜蜂授粉技术规程、DB14/T 806  无公害苹果生产技术规程、DB14/T 933  高光效苹果园建设技术规程、DB14/T 1184 苹果高光效树形生产技术规程</w:t>
            </w:r>
            <w:r>
              <w:rPr>
                <w:rFonts w:hint="eastAsia" w:cs="Times New Roman"/>
                <w:color w:val="000000"/>
                <w:lang w:val="en-US" w:eastAsia="zh-CN"/>
              </w:rPr>
              <w:t>”。</w:t>
            </w:r>
          </w:p>
        </w:tc>
        <w:tc>
          <w:tcPr>
            <w:tcW w:w="308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山西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省检验检测中心</w:t>
            </w:r>
          </w:p>
        </w:tc>
        <w:tc>
          <w:tcPr>
            <w:tcW w:w="1643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采纳</w:t>
            </w:r>
          </w:p>
        </w:tc>
        <w:tc>
          <w:tcPr>
            <w:tcW w:w="2363" w:type="dxa"/>
            <w:noWrap w:val="0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</w:p>
        </w:tc>
        <w:tc>
          <w:tcPr>
            <w:tcW w:w="125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5024" w:type="dxa"/>
            <w:noWrap w:val="0"/>
            <w:vAlign w:val="center"/>
          </w:tcPr>
          <w:p>
            <w:pPr>
              <w:pStyle w:val="21"/>
              <w:widowControl w:val="0"/>
              <w:ind w:left="0" w:leftChars="0" w:firstLine="0" w:firstLineChars="0"/>
              <w:rPr>
                <w:rFonts w:hint="default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cs="Times New Roman"/>
                <w:color w:val="000000"/>
                <w:sz w:val="21"/>
                <w:szCs w:val="21"/>
                <w:lang w:val="en-US" w:eastAsia="zh-CN" w:bidi="ar-SA"/>
              </w:rPr>
              <w:t>更新原文件中“5.1群体目标参数”和“5.2个体目标参数”中有关表述</w:t>
            </w:r>
            <w:r>
              <w:rPr>
                <w:rFonts w:hint="eastAsia" w:ascii="宋体" w:hAnsi="宋体" w:cs="Times New Roman"/>
                <w:color w:val="000000"/>
                <w:sz w:val="21"/>
                <w:szCs w:val="21"/>
                <w:lang w:val="en-US" w:eastAsia="zh-CN" w:bidi="ar-SA"/>
              </w:rPr>
              <w:t>。</w:t>
            </w:r>
          </w:p>
        </w:tc>
        <w:tc>
          <w:tcPr>
            <w:tcW w:w="308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szCs w:val="21"/>
                <w:lang w:val="en-US" w:eastAsia="zh-CN" w:bidi="ar-SA"/>
              </w:rPr>
              <w:t>山西省农产品质量安全中心</w:t>
            </w:r>
          </w:p>
        </w:tc>
        <w:tc>
          <w:tcPr>
            <w:tcW w:w="1643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采纳</w:t>
            </w:r>
          </w:p>
        </w:tc>
        <w:tc>
          <w:tcPr>
            <w:tcW w:w="2363" w:type="dxa"/>
            <w:noWrap w:val="0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1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</w:p>
        </w:tc>
        <w:tc>
          <w:tcPr>
            <w:tcW w:w="125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7</w:t>
            </w:r>
          </w:p>
        </w:tc>
        <w:tc>
          <w:tcPr>
            <w:tcW w:w="5024" w:type="dxa"/>
            <w:noWrap w:val="0"/>
            <w:vAlign w:val="center"/>
          </w:tcPr>
          <w:p>
            <w:pPr>
              <w:pStyle w:val="21"/>
              <w:widowControl w:val="0"/>
              <w:ind w:left="0" w:leftChars="0" w:firstLine="0" w:firstLineChars="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对“7.1提干、7.2落头、7.3疏枝、7.4缓放”相关技术指标进行细化。</w:t>
            </w:r>
          </w:p>
        </w:tc>
        <w:tc>
          <w:tcPr>
            <w:tcW w:w="308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szCs w:val="21"/>
                <w:lang w:val="en-US" w:eastAsia="zh-CN" w:bidi="ar-SA"/>
              </w:rPr>
              <w:t>山西农业大学</w:t>
            </w:r>
          </w:p>
        </w:tc>
        <w:tc>
          <w:tcPr>
            <w:tcW w:w="1643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采纳</w:t>
            </w:r>
          </w:p>
        </w:tc>
        <w:tc>
          <w:tcPr>
            <w:tcW w:w="2363" w:type="dxa"/>
            <w:noWrap w:val="0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</w:p>
        </w:tc>
        <w:tc>
          <w:tcPr>
            <w:tcW w:w="125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全文</w:t>
            </w:r>
          </w:p>
        </w:tc>
        <w:tc>
          <w:tcPr>
            <w:tcW w:w="5024" w:type="dxa"/>
            <w:noWrap w:val="0"/>
            <w:vAlign w:val="center"/>
          </w:tcPr>
          <w:p>
            <w:pPr>
              <w:pStyle w:val="21"/>
              <w:widowControl w:val="0"/>
              <w:ind w:left="0" w:leftChars="0" w:firstLine="0" w:firstLineChars="0"/>
              <w:rPr>
                <w:rFonts w:hint="default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color w:val="000000"/>
                <w:szCs w:val="21"/>
                <w:lang w:val="en-US" w:eastAsia="zh-CN"/>
              </w:rPr>
              <w:t>文中所有数字之间的“</w:t>
            </w:r>
            <w:r>
              <w:rPr>
                <w:rFonts w:hint="eastAsia" w:hAnsi="Times New Roman" w:eastAsia="宋体" w:cs="Times New Roman"/>
                <w:color w:val="000000"/>
              </w:rPr>
              <w:t>-</w:t>
            </w:r>
            <w:r>
              <w:rPr>
                <w:rFonts w:hint="eastAsia" w:ascii="宋体" w:hAnsi="Times New Roman" w:eastAsia="宋体" w:cs="Times New Roman"/>
                <w:color w:val="000000"/>
                <w:szCs w:val="21"/>
                <w:lang w:val="en-US" w:eastAsia="zh-CN"/>
              </w:rPr>
              <w:t>”均修改为“～”。</w:t>
            </w:r>
          </w:p>
        </w:tc>
        <w:tc>
          <w:tcPr>
            <w:tcW w:w="308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山西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省检验检测中心</w:t>
            </w:r>
          </w:p>
        </w:tc>
        <w:tc>
          <w:tcPr>
            <w:tcW w:w="1643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采纳</w:t>
            </w:r>
          </w:p>
        </w:tc>
        <w:tc>
          <w:tcPr>
            <w:tcW w:w="2363" w:type="dxa"/>
            <w:noWrap w:val="0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125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全文</w:t>
            </w:r>
          </w:p>
        </w:tc>
        <w:tc>
          <w:tcPr>
            <w:tcW w:w="5024" w:type="dxa"/>
            <w:noWrap w:val="0"/>
            <w:vAlign w:val="center"/>
          </w:tcPr>
          <w:p>
            <w:pPr>
              <w:pStyle w:val="21"/>
              <w:widowControl w:val="0"/>
              <w:ind w:left="0" w:leftChars="0" w:firstLine="0" w:firstLineChars="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所有章节内容语言进行精简和提炼，减少说明性语言。</w:t>
            </w:r>
          </w:p>
        </w:tc>
        <w:tc>
          <w:tcPr>
            <w:tcW w:w="308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山西农业大学</w:t>
            </w:r>
          </w:p>
        </w:tc>
        <w:tc>
          <w:tcPr>
            <w:tcW w:w="1643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采纳</w:t>
            </w:r>
          </w:p>
        </w:tc>
        <w:tc>
          <w:tcPr>
            <w:tcW w:w="2363" w:type="dxa"/>
            <w:noWrap w:val="0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6</w:t>
            </w:r>
          </w:p>
        </w:tc>
        <w:tc>
          <w:tcPr>
            <w:tcW w:w="125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11</w:t>
            </w:r>
          </w:p>
        </w:tc>
        <w:tc>
          <w:tcPr>
            <w:tcW w:w="5024" w:type="dxa"/>
            <w:noWrap w:val="0"/>
            <w:vAlign w:val="center"/>
          </w:tcPr>
          <w:p>
            <w:pPr>
              <w:pStyle w:val="21"/>
              <w:widowControl w:val="0"/>
              <w:ind w:left="0" w:leftChars="0" w:firstLine="0" w:firstLineChars="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增加“生产档案”相关内容。</w:t>
            </w:r>
          </w:p>
        </w:tc>
        <w:tc>
          <w:tcPr>
            <w:tcW w:w="308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szCs w:val="21"/>
                <w:lang w:val="en-US" w:eastAsia="zh-CN" w:bidi="ar-SA"/>
              </w:rPr>
              <w:t>山西农业大学</w:t>
            </w:r>
          </w:p>
        </w:tc>
        <w:tc>
          <w:tcPr>
            <w:tcW w:w="1643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采纳</w:t>
            </w:r>
          </w:p>
        </w:tc>
        <w:tc>
          <w:tcPr>
            <w:tcW w:w="2363" w:type="dxa"/>
            <w:noWrap w:val="0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74" w:type="dxa"/>
            <w:gridSpan w:val="6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说明：</w:t>
            </w:r>
            <w:r>
              <w:rPr>
                <w:rFonts w:ascii="Calibri" w:hAnsi="Calibri" w:eastAsia="宋体" w:cs="Calibri"/>
                <w:color w:val="000000"/>
                <w:kern w:val="0"/>
                <w:sz w:val="18"/>
                <w:szCs w:val="18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、针对明确回复无意见的单位，请在“意见内容”中注明无意见，在“提出单位”中列出无意见单位的名称。</w:t>
            </w:r>
          </w:p>
          <w:p>
            <w:pPr>
              <w:tabs>
                <w:tab w:val="left" w:pos="2052"/>
              </w:tabs>
              <w:snapToGrid w:val="0"/>
              <w:spacing w:line="300" w:lineRule="auto"/>
              <w:jc w:val="left"/>
              <w:rPr>
                <w:rFonts w:hint="eastAsia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18"/>
                <w:szCs w:val="18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、发送征求意见稿单位数</w:t>
            </w:r>
            <w:r>
              <w:rPr>
                <w:rFonts w:hint="eastAsia" w:ascii="Calibri" w:hAnsi="Calibri" w:cs="Calibri"/>
                <w:color w:val="000000"/>
                <w:kern w:val="0"/>
                <w:sz w:val="18"/>
                <w:szCs w:val="18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个；回到征求意见稿回函的单位数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个；收到征求意见稿并提出意见的单位数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个；共收到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条意见，采纳</w:t>
            </w:r>
            <w:r>
              <w:rPr>
                <w:rFonts w:hint="eastAsia" w:ascii="Calibri" w:hAnsi="Calibri" w:cs="Calibri"/>
                <w:color w:val="000000"/>
                <w:kern w:val="0"/>
                <w:sz w:val="18"/>
                <w:szCs w:val="18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条意见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。</w:t>
            </w:r>
          </w:p>
        </w:tc>
      </w:tr>
    </w:tbl>
    <w:p>
      <w:pPr>
        <w:tabs>
          <w:tab w:val="left" w:pos="11340"/>
        </w:tabs>
        <w:ind w:firstLine="602"/>
        <w:jc w:val="center"/>
        <w:rPr>
          <w:rFonts w:hint="default" w:ascii="宋体" w:hAnsi="宋体"/>
          <w:b/>
          <w:sz w:val="32"/>
          <w:szCs w:val="32"/>
          <w:lang w:val="en-US" w:eastAsia="zh-CN"/>
        </w:rPr>
      </w:pPr>
    </w:p>
    <w:sectPr>
      <w:pgSz w:w="16838" w:h="11906" w:orient="landscape"/>
      <w:pgMar w:top="1803" w:right="1440" w:bottom="1803" w:left="1440" w:header="851" w:footer="992" w:gutter="0"/>
      <w:pgNumType w:start="1"/>
      <w:cols w:space="0" w:num="1"/>
      <w:titlePg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Mangal">
    <w:altName w:val="Noto Sans Syriac Eastern"/>
    <w:panose1 w:val="02040503050203030202"/>
    <w:charset w:val="01"/>
    <w:family w:val="roman"/>
    <w:pitch w:val="default"/>
    <w:sig w:usb0="00000000" w:usb1="00000000" w:usb2="00000000" w:usb3="00000000" w:csb0="0000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altName w:val="方正楷体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pStyle w:val="11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32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33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60B55DC2"/>
    <w:multiLevelType w:val="multilevel"/>
    <w:tmpl w:val="60B55DC2"/>
    <w:lvl w:ilvl="0" w:tentative="0">
      <w:start w:val="1"/>
      <w:numFmt w:val="upperLetter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 w:tentative="0">
      <w:start w:val="1"/>
      <w:numFmt w:val="decimal"/>
      <w:pStyle w:val="34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false"/>
  <w:bordersDoNotSurroundFooter w:val="false"/>
  <w:doNotTrackMoves/>
  <w:documentProtection w:enforcement="0"/>
  <w:defaultTabStop w:val="420"/>
  <w:drawingGridHorizontalSpacing w:val="105"/>
  <w:drawingGridVerticalSpacing w:val="159"/>
  <w:displayHorizontalDrawingGridEvery w:val="1"/>
  <w:displayVerticalDrawingGridEvery w:val="1"/>
  <w:noPunctuationKerning w:val="true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3MTlkNTlhZGRjN2Y0ZTU2MDhlOGM4Y2FiZjE5YTEifQ=="/>
  </w:docVars>
  <w:rsids>
    <w:rsidRoot w:val="00636FC5"/>
    <w:rsid w:val="00001C9C"/>
    <w:rsid w:val="00002121"/>
    <w:rsid w:val="00003D4E"/>
    <w:rsid w:val="0001430A"/>
    <w:rsid w:val="000173E8"/>
    <w:rsid w:val="000203B7"/>
    <w:rsid w:val="00021FC1"/>
    <w:rsid w:val="00024D73"/>
    <w:rsid w:val="00025BA5"/>
    <w:rsid w:val="00035FEB"/>
    <w:rsid w:val="000443C0"/>
    <w:rsid w:val="00045395"/>
    <w:rsid w:val="00045C4C"/>
    <w:rsid w:val="000471FB"/>
    <w:rsid w:val="00051B0A"/>
    <w:rsid w:val="00054BA0"/>
    <w:rsid w:val="00061514"/>
    <w:rsid w:val="00073F3B"/>
    <w:rsid w:val="000754B9"/>
    <w:rsid w:val="00080D84"/>
    <w:rsid w:val="00087B70"/>
    <w:rsid w:val="0009360F"/>
    <w:rsid w:val="0009699A"/>
    <w:rsid w:val="000974DE"/>
    <w:rsid w:val="000A23F9"/>
    <w:rsid w:val="000A281F"/>
    <w:rsid w:val="000B59DE"/>
    <w:rsid w:val="000C1548"/>
    <w:rsid w:val="000C203B"/>
    <w:rsid w:val="000C24FA"/>
    <w:rsid w:val="000C2F16"/>
    <w:rsid w:val="000C3919"/>
    <w:rsid w:val="000C5AE1"/>
    <w:rsid w:val="000C62FE"/>
    <w:rsid w:val="000D7E22"/>
    <w:rsid w:val="000E0029"/>
    <w:rsid w:val="000E0518"/>
    <w:rsid w:val="000E5DDF"/>
    <w:rsid w:val="00104D9E"/>
    <w:rsid w:val="001079E4"/>
    <w:rsid w:val="00114B28"/>
    <w:rsid w:val="00136B80"/>
    <w:rsid w:val="00140883"/>
    <w:rsid w:val="001422D2"/>
    <w:rsid w:val="00142DCA"/>
    <w:rsid w:val="001451F2"/>
    <w:rsid w:val="00153E55"/>
    <w:rsid w:val="00155235"/>
    <w:rsid w:val="0016381F"/>
    <w:rsid w:val="0016534D"/>
    <w:rsid w:val="001653E3"/>
    <w:rsid w:val="001657F4"/>
    <w:rsid w:val="00184DC2"/>
    <w:rsid w:val="00195264"/>
    <w:rsid w:val="001A0041"/>
    <w:rsid w:val="001A0916"/>
    <w:rsid w:val="001C0311"/>
    <w:rsid w:val="001C1B81"/>
    <w:rsid w:val="001C2BE8"/>
    <w:rsid w:val="001C3ACE"/>
    <w:rsid w:val="001D06C4"/>
    <w:rsid w:val="001D0957"/>
    <w:rsid w:val="001D7128"/>
    <w:rsid w:val="001E486F"/>
    <w:rsid w:val="001F695E"/>
    <w:rsid w:val="001F7C13"/>
    <w:rsid w:val="001F7CF9"/>
    <w:rsid w:val="0020132D"/>
    <w:rsid w:val="002042E4"/>
    <w:rsid w:val="00211530"/>
    <w:rsid w:val="00213570"/>
    <w:rsid w:val="00217A11"/>
    <w:rsid w:val="002216A8"/>
    <w:rsid w:val="00226A9A"/>
    <w:rsid w:val="00226FD3"/>
    <w:rsid w:val="00227FEE"/>
    <w:rsid w:val="00230DF6"/>
    <w:rsid w:val="00233658"/>
    <w:rsid w:val="00233B76"/>
    <w:rsid w:val="00243164"/>
    <w:rsid w:val="00243B8F"/>
    <w:rsid w:val="00243DA6"/>
    <w:rsid w:val="00243E19"/>
    <w:rsid w:val="00247BC6"/>
    <w:rsid w:val="002508ED"/>
    <w:rsid w:val="00252DE5"/>
    <w:rsid w:val="002606D8"/>
    <w:rsid w:val="00261187"/>
    <w:rsid w:val="00267EEC"/>
    <w:rsid w:val="00270C24"/>
    <w:rsid w:val="00273B1D"/>
    <w:rsid w:val="002746DC"/>
    <w:rsid w:val="00277378"/>
    <w:rsid w:val="00277EC1"/>
    <w:rsid w:val="0028564F"/>
    <w:rsid w:val="00285ABA"/>
    <w:rsid w:val="002B52FE"/>
    <w:rsid w:val="002B6A3E"/>
    <w:rsid w:val="002B7335"/>
    <w:rsid w:val="002C169F"/>
    <w:rsid w:val="002C3C6B"/>
    <w:rsid w:val="002D3E11"/>
    <w:rsid w:val="002E04E6"/>
    <w:rsid w:val="002E5A2F"/>
    <w:rsid w:val="003024F7"/>
    <w:rsid w:val="0031028C"/>
    <w:rsid w:val="003150DE"/>
    <w:rsid w:val="00315657"/>
    <w:rsid w:val="003158E5"/>
    <w:rsid w:val="003221E9"/>
    <w:rsid w:val="003259EC"/>
    <w:rsid w:val="00330396"/>
    <w:rsid w:val="003311E6"/>
    <w:rsid w:val="00332318"/>
    <w:rsid w:val="0033472D"/>
    <w:rsid w:val="00336488"/>
    <w:rsid w:val="00342A32"/>
    <w:rsid w:val="003439A2"/>
    <w:rsid w:val="00344D61"/>
    <w:rsid w:val="003469EC"/>
    <w:rsid w:val="00347085"/>
    <w:rsid w:val="003509C0"/>
    <w:rsid w:val="003556E4"/>
    <w:rsid w:val="0036351B"/>
    <w:rsid w:val="00366032"/>
    <w:rsid w:val="003705E8"/>
    <w:rsid w:val="00371543"/>
    <w:rsid w:val="003716D4"/>
    <w:rsid w:val="003925B2"/>
    <w:rsid w:val="00394B25"/>
    <w:rsid w:val="0039560A"/>
    <w:rsid w:val="003A21FE"/>
    <w:rsid w:val="003A5C65"/>
    <w:rsid w:val="003B0DE6"/>
    <w:rsid w:val="003B17F4"/>
    <w:rsid w:val="003B1D77"/>
    <w:rsid w:val="003B7D6F"/>
    <w:rsid w:val="003C3911"/>
    <w:rsid w:val="003D3463"/>
    <w:rsid w:val="003D528A"/>
    <w:rsid w:val="003D6374"/>
    <w:rsid w:val="003D6FB0"/>
    <w:rsid w:val="003E0207"/>
    <w:rsid w:val="003E24D6"/>
    <w:rsid w:val="003E2D3A"/>
    <w:rsid w:val="003F035B"/>
    <w:rsid w:val="003F1FC6"/>
    <w:rsid w:val="003F3EBE"/>
    <w:rsid w:val="00402952"/>
    <w:rsid w:val="004047A2"/>
    <w:rsid w:val="00404C7A"/>
    <w:rsid w:val="00407C56"/>
    <w:rsid w:val="00410C0E"/>
    <w:rsid w:val="00420EB4"/>
    <w:rsid w:val="004240E3"/>
    <w:rsid w:val="00433525"/>
    <w:rsid w:val="00435EF8"/>
    <w:rsid w:val="00441A8F"/>
    <w:rsid w:val="00441B8A"/>
    <w:rsid w:val="0044501D"/>
    <w:rsid w:val="004450AB"/>
    <w:rsid w:val="00451A7E"/>
    <w:rsid w:val="004547E0"/>
    <w:rsid w:val="00461F43"/>
    <w:rsid w:val="0046480C"/>
    <w:rsid w:val="004770BA"/>
    <w:rsid w:val="0048050F"/>
    <w:rsid w:val="00485AB3"/>
    <w:rsid w:val="0049020D"/>
    <w:rsid w:val="004943B6"/>
    <w:rsid w:val="00494F67"/>
    <w:rsid w:val="00495DCD"/>
    <w:rsid w:val="004A0CC0"/>
    <w:rsid w:val="004A2295"/>
    <w:rsid w:val="004A6D81"/>
    <w:rsid w:val="004A7E24"/>
    <w:rsid w:val="004B7966"/>
    <w:rsid w:val="004B7B8C"/>
    <w:rsid w:val="004D4066"/>
    <w:rsid w:val="004D62AF"/>
    <w:rsid w:val="004E42DA"/>
    <w:rsid w:val="004E45D5"/>
    <w:rsid w:val="004E531D"/>
    <w:rsid w:val="004E5AFA"/>
    <w:rsid w:val="004F10CE"/>
    <w:rsid w:val="004F4490"/>
    <w:rsid w:val="004F4EF5"/>
    <w:rsid w:val="004F6A63"/>
    <w:rsid w:val="00504A7B"/>
    <w:rsid w:val="0050538B"/>
    <w:rsid w:val="005119FA"/>
    <w:rsid w:val="00513F60"/>
    <w:rsid w:val="005165DC"/>
    <w:rsid w:val="00532EC9"/>
    <w:rsid w:val="0053409C"/>
    <w:rsid w:val="0053513E"/>
    <w:rsid w:val="005354BE"/>
    <w:rsid w:val="00535FC3"/>
    <w:rsid w:val="00536728"/>
    <w:rsid w:val="0056323B"/>
    <w:rsid w:val="00573771"/>
    <w:rsid w:val="005811F3"/>
    <w:rsid w:val="00582DEA"/>
    <w:rsid w:val="0058589E"/>
    <w:rsid w:val="0059142D"/>
    <w:rsid w:val="005915E3"/>
    <w:rsid w:val="00597C60"/>
    <w:rsid w:val="005A0ED2"/>
    <w:rsid w:val="005A3C89"/>
    <w:rsid w:val="005A42A5"/>
    <w:rsid w:val="005B07C8"/>
    <w:rsid w:val="005B1473"/>
    <w:rsid w:val="005B4A6F"/>
    <w:rsid w:val="005B7CA6"/>
    <w:rsid w:val="005C1F9E"/>
    <w:rsid w:val="005E5E7B"/>
    <w:rsid w:val="005F020B"/>
    <w:rsid w:val="005F3B9E"/>
    <w:rsid w:val="005F3DB9"/>
    <w:rsid w:val="005F5D65"/>
    <w:rsid w:val="005F76FB"/>
    <w:rsid w:val="00604181"/>
    <w:rsid w:val="00604E2D"/>
    <w:rsid w:val="0060567D"/>
    <w:rsid w:val="00611A58"/>
    <w:rsid w:val="00614AA4"/>
    <w:rsid w:val="00616FC1"/>
    <w:rsid w:val="00620469"/>
    <w:rsid w:val="006206EA"/>
    <w:rsid w:val="0063154F"/>
    <w:rsid w:val="00633B19"/>
    <w:rsid w:val="00633EF1"/>
    <w:rsid w:val="00636FC5"/>
    <w:rsid w:val="006400BA"/>
    <w:rsid w:val="00641B9A"/>
    <w:rsid w:val="006423BB"/>
    <w:rsid w:val="00642628"/>
    <w:rsid w:val="006467CA"/>
    <w:rsid w:val="006500A2"/>
    <w:rsid w:val="0066172F"/>
    <w:rsid w:val="00662AD1"/>
    <w:rsid w:val="00663745"/>
    <w:rsid w:val="00670B31"/>
    <w:rsid w:val="006756E6"/>
    <w:rsid w:val="0068404D"/>
    <w:rsid w:val="00691427"/>
    <w:rsid w:val="006915F6"/>
    <w:rsid w:val="006918FB"/>
    <w:rsid w:val="00693173"/>
    <w:rsid w:val="0069777F"/>
    <w:rsid w:val="006A4784"/>
    <w:rsid w:val="006A5225"/>
    <w:rsid w:val="006A7107"/>
    <w:rsid w:val="006B3E2E"/>
    <w:rsid w:val="006C472E"/>
    <w:rsid w:val="006C7054"/>
    <w:rsid w:val="006D0FBE"/>
    <w:rsid w:val="006D1116"/>
    <w:rsid w:val="006E02DD"/>
    <w:rsid w:val="006E1129"/>
    <w:rsid w:val="00702811"/>
    <w:rsid w:val="00706BC0"/>
    <w:rsid w:val="007138B0"/>
    <w:rsid w:val="00713D54"/>
    <w:rsid w:val="00715399"/>
    <w:rsid w:val="00720C80"/>
    <w:rsid w:val="007230A0"/>
    <w:rsid w:val="0072360B"/>
    <w:rsid w:val="0072435E"/>
    <w:rsid w:val="007249D5"/>
    <w:rsid w:val="00730F68"/>
    <w:rsid w:val="00734037"/>
    <w:rsid w:val="0074190C"/>
    <w:rsid w:val="00755C73"/>
    <w:rsid w:val="00757A64"/>
    <w:rsid w:val="00760C71"/>
    <w:rsid w:val="00763867"/>
    <w:rsid w:val="00767B97"/>
    <w:rsid w:val="0077176C"/>
    <w:rsid w:val="00772C34"/>
    <w:rsid w:val="00773A15"/>
    <w:rsid w:val="007743EC"/>
    <w:rsid w:val="00776852"/>
    <w:rsid w:val="00776D66"/>
    <w:rsid w:val="00777B27"/>
    <w:rsid w:val="00791BB3"/>
    <w:rsid w:val="0079399E"/>
    <w:rsid w:val="00795AB4"/>
    <w:rsid w:val="007975E1"/>
    <w:rsid w:val="007A65A0"/>
    <w:rsid w:val="007B0D2E"/>
    <w:rsid w:val="007B2777"/>
    <w:rsid w:val="007B2968"/>
    <w:rsid w:val="007C39F2"/>
    <w:rsid w:val="007C3AD6"/>
    <w:rsid w:val="007C3D18"/>
    <w:rsid w:val="007D08C1"/>
    <w:rsid w:val="007D31A8"/>
    <w:rsid w:val="007E6D31"/>
    <w:rsid w:val="00800843"/>
    <w:rsid w:val="008024F2"/>
    <w:rsid w:val="00807629"/>
    <w:rsid w:val="008125DA"/>
    <w:rsid w:val="00817229"/>
    <w:rsid w:val="00820DFB"/>
    <w:rsid w:val="00821F58"/>
    <w:rsid w:val="008263E7"/>
    <w:rsid w:val="008306CD"/>
    <w:rsid w:val="00840427"/>
    <w:rsid w:val="008449F5"/>
    <w:rsid w:val="0084546C"/>
    <w:rsid w:val="008471EC"/>
    <w:rsid w:val="008519FE"/>
    <w:rsid w:val="00856ECE"/>
    <w:rsid w:val="00862581"/>
    <w:rsid w:val="00863825"/>
    <w:rsid w:val="008729C9"/>
    <w:rsid w:val="00874B45"/>
    <w:rsid w:val="00880EC6"/>
    <w:rsid w:val="00884A91"/>
    <w:rsid w:val="008935DA"/>
    <w:rsid w:val="008A1B81"/>
    <w:rsid w:val="008A36A4"/>
    <w:rsid w:val="008A699E"/>
    <w:rsid w:val="008A6D37"/>
    <w:rsid w:val="008B7F7F"/>
    <w:rsid w:val="008C1D81"/>
    <w:rsid w:val="008C4583"/>
    <w:rsid w:val="008E256F"/>
    <w:rsid w:val="008E454E"/>
    <w:rsid w:val="008F1AAD"/>
    <w:rsid w:val="008F5288"/>
    <w:rsid w:val="0091113A"/>
    <w:rsid w:val="00915F25"/>
    <w:rsid w:val="009166F0"/>
    <w:rsid w:val="00916E3B"/>
    <w:rsid w:val="00920385"/>
    <w:rsid w:val="009211BD"/>
    <w:rsid w:val="0092160B"/>
    <w:rsid w:val="0092627B"/>
    <w:rsid w:val="00934199"/>
    <w:rsid w:val="009358E1"/>
    <w:rsid w:val="00936A6B"/>
    <w:rsid w:val="00953792"/>
    <w:rsid w:val="009705E2"/>
    <w:rsid w:val="00975940"/>
    <w:rsid w:val="0098254B"/>
    <w:rsid w:val="00983D55"/>
    <w:rsid w:val="0098417D"/>
    <w:rsid w:val="009875C5"/>
    <w:rsid w:val="00991DF6"/>
    <w:rsid w:val="0099572B"/>
    <w:rsid w:val="00996196"/>
    <w:rsid w:val="0099787D"/>
    <w:rsid w:val="009A2FA1"/>
    <w:rsid w:val="009B4E35"/>
    <w:rsid w:val="009C3329"/>
    <w:rsid w:val="009C558A"/>
    <w:rsid w:val="009C596B"/>
    <w:rsid w:val="009C5E73"/>
    <w:rsid w:val="009D5C90"/>
    <w:rsid w:val="009F1169"/>
    <w:rsid w:val="009F39E8"/>
    <w:rsid w:val="009F75FD"/>
    <w:rsid w:val="00A2176F"/>
    <w:rsid w:val="00A25526"/>
    <w:rsid w:val="00A30ABC"/>
    <w:rsid w:val="00A31F81"/>
    <w:rsid w:val="00A37819"/>
    <w:rsid w:val="00A4435A"/>
    <w:rsid w:val="00A4451F"/>
    <w:rsid w:val="00A46A80"/>
    <w:rsid w:val="00A52D3C"/>
    <w:rsid w:val="00A53139"/>
    <w:rsid w:val="00A53AA5"/>
    <w:rsid w:val="00A62ED4"/>
    <w:rsid w:val="00A6637E"/>
    <w:rsid w:val="00A73148"/>
    <w:rsid w:val="00A74F2B"/>
    <w:rsid w:val="00A8184F"/>
    <w:rsid w:val="00A90B3A"/>
    <w:rsid w:val="00A935E8"/>
    <w:rsid w:val="00A9450A"/>
    <w:rsid w:val="00A9569D"/>
    <w:rsid w:val="00AA538B"/>
    <w:rsid w:val="00AA685C"/>
    <w:rsid w:val="00AB297F"/>
    <w:rsid w:val="00AB4A9B"/>
    <w:rsid w:val="00AC0AF2"/>
    <w:rsid w:val="00AC2568"/>
    <w:rsid w:val="00AC7446"/>
    <w:rsid w:val="00AD10B8"/>
    <w:rsid w:val="00AD6B94"/>
    <w:rsid w:val="00AF0D1C"/>
    <w:rsid w:val="00AF58B6"/>
    <w:rsid w:val="00B01F81"/>
    <w:rsid w:val="00B03A6D"/>
    <w:rsid w:val="00B04CAD"/>
    <w:rsid w:val="00B04FD0"/>
    <w:rsid w:val="00B071E5"/>
    <w:rsid w:val="00B104BD"/>
    <w:rsid w:val="00B1146C"/>
    <w:rsid w:val="00B130AF"/>
    <w:rsid w:val="00B22B39"/>
    <w:rsid w:val="00B24ED8"/>
    <w:rsid w:val="00B271DE"/>
    <w:rsid w:val="00B27F8A"/>
    <w:rsid w:val="00B3317B"/>
    <w:rsid w:val="00B36550"/>
    <w:rsid w:val="00B43960"/>
    <w:rsid w:val="00B503CA"/>
    <w:rsid w:val="00B56043"/>
    <w:rsid w:val="00B67E1C"/>
    <w:rsid w:val="00B767B8"/>
    <w:rsid w:val="00B77A1D"/>
    <w:rsid w:val="00B80ADA"/>
    <w:rsid w:val="00B8370A"/>
    <w:rsid w:val="00B85CE2"/>
    <w:rsid w:val="00B877F0"/>
    <w:rsid w:val="00B93351"/>
    <w:rsid w:val="00B95E63"/>
    <w:rsid w:val="00B96E91"/>
    <w:rsid w:val="00BA2CDB"/>
    <w:rsid w:val="00BA3C87"/>
    <w:rsid w:val="00BA595B"/>
    <w:rsid w:val="00BA7A98"/>
    <w:rsid w:val="00BB1509"/>
    <w:rsid w:val="00BB6BC4"/>
    <w:rsid w:val="00BC5FAC"/>
    <w:rsid w:val="00BD5606"/>
    <w:rsid w:val="00BE2554"/>
    <w:rsid w:val="00BE3B52"/>
    <w:rsid w:val="00BE465C"/>
    <w:rsid w:val="00C0419D"/>
    <w:rsid w:val="00C05123"/>
    <w:rsid w:val="00C06C73"/>
    <w:rsid w:val="00C15323"/>
    <w:rsid w:val="00C3286F"/>
    <w:rsid w:val="00C3299F"/>
    <w:rsid w:val="00C33013"/>
    <w:rsid w:val="00C43949"/>
    <w:rsid w:val="00C459D1"/>
    <w:rsid w:val="00C505BD"/>
    <w:rsid w:val="00C561D9"/>
    <w:rsid w:val="00C665D4"/>
    <w:rsid w:val="00C7245E"/>
    <w:rsid w:val="00C76C16"/>
    <w:rsid w:val="00C77D84"/>
    <w:rsid w:val="00C815C4"/>
    <w:rsid w:val="00C84B6C"/>
    <w:rsid w:val="00C93AC5"/>
    <w:rsid w:val="00CA0F6E"/>
    <w:rsid w:val="00CA1614"/>
    <w:rsid w:val="00CA54AC"/>
    <w:rsid w:val="00CA746E"/>
    <w:rsid w:val="00CA7B78"/>
    <w:rsid w:val="00CB117C"/>
    <w:rsid w:val="00CC297A"/>
    <w:rsid w:val="00CC3B0C"/>
    <w:rsid w:val="00CD687E"/>
    <w:rsid w:val="00CD6BB6"/>
    <w:rsid w:val="00CE3B64"/>
    <w:rsid w:val="00CE7C77"/>
    <w:rsid w:val="00CF763D"/>
    <w:rsid w:val="00D002E5"/>
    <w:rsid w:val="00D020CC"/>
    <w:rsid w:val="00D042CB"/>
    <w:rsid w:val="00D10633"/>
    <w:rsid w:val="00D10DC3"/>
    <w:rsid w:val="00D211A9"/>
    <w:rsid w:val="00D259BF"/>
    <w:rsid w:val="00D26281"/>
    <w:rsid w:val="00D27F7C"/>
    <w:rsid w:val="00D46020"/>
    <w:rsid w:val="00D56B74"/>
    <w:rsid w:val="00D57A84"/>
    <w:rsid w:val="00D665A9"/>
    <w:rsid w:val="00D72C03"/>
    <w:rsid w:val="00D81CD3"/>
    <w:rsid w:val="00D9062C"/>
    <w:rsid w:val="00D91C3A"/>
    <w:rsid w:val="00D93605"/>
    <w:rsid w:val="00D9617E"/>
    <w:rsid w:val="00DB07A4"/>
    <w:rsid w:val="00DB0DAB"/>
    <w:rsid w:val="00DB2837"/>
    <w:rsid w:val="00DB2D8F"/>
    <w:rsid w:val="00DB4B2E"/>
    <w:rsid w:val="00DB6514"/>
    <w:rsid w:val="00DB6A89"/>
    <w:rsid w:val="00DC266B"/>
    <w:rsid w:val="00DC4130"/>
    <w:rsid w:val="00DD18A1"/>
    <w:rsid w:val="00DD4471"/>
    <w:rsid w:val="00DE552D"/>
    <w:rsid w:val="00DE5BA8"/>
    <w:rsid w:val="00DE7291"/>
    <w:rsid w:val="00DE73B5"/>
    <w:rsid w:val="00DE7809"/>
    <w:rsid w:val="00DF4B68"/>
    <w:rsid w:val="00E05868"/>
    <w:rsid w:val="00E07594"/>
    <w:rsid w:val="00E11D5F"/>
    <w:rsid w:val="00E15C5B"/>
    <w:rsid w:val="00E23F76"/>
    <w:rsid w:val="00E275CE"/>
    <w:rsid w:val="00E41C96"/>
    <w:rsid w:val="00E42650"/>
    <w:rsid w:val="00E4682B"/>
    <w:rsid w:val="00E47699"/>
    <w:rsid w:val="00E628B1"/>
    <w:rsid w:val="00E71D53"/>
    <w:rsid w:val="00E722BD"/>
    <w:rsid w:val="00E830F6"/>
    <w:rsid w:val="00E87347"/>
    <w:rsid w:val="00E945B0"/>
    <w:rsid w:val="00E94AFD"/>
    <w:rsid w:val="00E957AE"/>
    <w:rsid w:val="00EA6262"/>
    <w:rsid w:val="00EB4480"/>
    <w:rsid w:val="00EB6465"/>
    <w:rsid w:val="00ED6677"/>
    <w:rsid w:val="00EE6530"/>
    <w:rsid w:val="00F00E80"/>
    <w:rsid w:val="00F0713A"/>
    <w:rsid w:val="00F11018"/>
    <w:rsid w:val="00F15AF4"/>
    <w:rsid w:val="00F16E22"/>
    <w:rsid w:val="00F17C71"/>
    <w:rsid w:val="00F27339"/>
    <w:rsid w:val="00F37D20"/>
    <w:rsid w:val="00F42342"/>
    <w:rsid w:val="00F44A09"/>
    <w:rsid w:val="00F52378"/>
    <w:rsid w:val="00F54888"/>
    <w:rsid w:val="00F57262"/>
    <w:rsid w:val="00F61A51"/>
    <w:rsid w:val="00F6407D"/>
    <w:rsid w:val="00F64FBB"/>
    <w:rsid w:val="00F67F81"/>
    <w:rsid w:val="00F703AD"/>
    <w:rsid w:val="00F70EA3"/>
    <w:rsid w:val="00F73553"/>
    <w:rsid w:val="00F778B9"/>
    <w:rsid w:val="00F77E65"/>
    <w:rsid w:val="00F8226F"/>
    <w:rsid w:val="00F83543"/>
    <w:rsid w:val="00F84C53"/>
    <w:rsid w:val="00F907D1"/>
    <w:rsid w:val="00F926B8"/>
    <w:rsid w:val="00F9426F"/>
    <w:rsid w:val="00F95F55"/>
    <w:rsid w:val="00F968DC"/>
    <w:rsid w:val="00FA2E27"/>
    <w:rsid w:val="00FA4128"/>
    <w:rsid w:val="00FA6158"/>
    <w:rsid w:val="00FA63F4"/>
    <w:rsid w:val="00FB15E3"/>
    <w:rsid w:val="00FB79BD"/>
    <w:rsid w:val="00FC754C"/>
    <w:rsid w:val="00FD0304"/>
    <w:rsid w:val="00FD3CE4"/>
    <w:rsid w:val="00FD684B"/>
    <w:rsid w:val="08736CA7"/>
    <w:rsid w:val="0C9B273A"/>
    <w:rsid w:val="1C5E2F2D"/>
    <w:rsid w:val="1CBA0712"/>
    <w:rsid w:val="215A54C1"/>
    <w:rsid w:val="230949CD"/>
    <w:rsid w:val="231747BB"/>
    <w:rsid w:val="25204677"/>
    <w:rsid w:val="26DD04FA"/>
    <w:rsid w:val="2BC07713"/>
    <w:rsid w:val="33070B6A"/>
    <w:rsid w:val="334358FC"/>
    <w:rsid w:val="3AA80948"/>
    <w:rsid w:val="3D25D500"/>
    <w:rsid w:val="3EEF98DD"/>
    <w:rsid w:val="3F9FD22F"/>
    <w:rsid w:val="470749E1"/>
    <w:rsid w:val="49DE1596"/>
    <w:rsid w:val="4F7B247E"/>
    <w:rsid w:val="50744D49"/>
    <w:rsid w:val="57D94567"/>
    <w:rsid w:val="5CFF1606"/>
    <w:rsid w:val="5DFFCE9C"/>
    <w:rsid w:val="5E5601F6"/>
    <w:rsid w:val="5FB81DCD"/>
    <w:rsid w:val="62043972"/>
    <w:rsid w:val="63BD8BA4"/>
    <w:rsid w:val="65B57D4C"/>
    <w:rsid w:val="6BFEE3C0"/>
    <w:rsid w:val="6BFF0146"/>
    <w:rsid w:val="6DDA2238"/>
    <w:rsid w:val="6EFD90F7"/>
    <w:rsid w:val="707E5BBB"/>
    <w:rsid w:val="72DE18B7"/>
    <w:rsid w:val="7329008F"/>
    <w:rsid w:val="74B55BF9"/>
    <w:rsid w:val="77C6AB6B"/>
    <w:rsid w:val="77FF4F98"/>
    <w:rsid w:val="79FF0142"/>
    <w:rsid w:val="7B1461A5"/>
    <w:rsid w:val="7BFB120F"/>
    <w:rsid w:val="7C594E55"/>
    <w:rsid w:val="7F7F1836"/>
    <w:rsid w:val="7FDE9EE2"/>
    <w:rsid w:val="93EEA786"/>
    <w:rsid w:val="9CFB7DEA"/>
    <w:rsid w:val="ADAF1DB9"/>
    <w:rsid w:val="B5FF0B5B"/>
    <w:rsid w:val="B76B45F2"/>
    <w:rsid w:val="D5FE192F"/>
    <w:rsid w:val="DDDB2668"/>
    <w:rsid w:val="DFFB0938"/>
    <w:rsid w:val="E76CBF14"/>
    <w:rsid w:val="EB7DFDD5"/>
    <w:rsid w:val="EC3D1978"/>
    <w:rsid w:val="FEFFD74D"/>
    <w:rsid w:val="FFFF8C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99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1"/>
    <w:basedOn w:val="1"/>
    <w:next w:val="1"/>
    <w:link w:val="18"/>
    <w:qFormat/>
    <w:uiPriority w:val="99"/>
    <w:pPr>
      <w:keepNext/>
      <w:keepLines/>
      <w:tabs>
        <w:tab w:val="left" w:pos="0"/>
      </w:tabs>
      <w:suppressAutoHyphens/>
      <w:spacing w:before="340" w:after="330" w:line="480" w:lineRule="auto"/>
      <w:ind w:left="432" w:hanging="432"/>
      <w:outlineLvl w:val="0"/>
    </w:pPr>
    <w:rPr>
      <w:b/>
      <w:bCs/>
      <w:kern w:val="1"/>
      <w:sz w:val="44"/>
      <w:szCs w:val="44"/>
      <w:lang w:eastAsia="ar-SA"/>
    </w:rPr>
  </w:style>
  <w:style w:type="paragraph" w:styleId="6">
    <w:name w:val="heading 3"/>
    <w:basedOn w:val="1"/>
    <w:next w:val="1"/>
    <w:link w:val="19"/>
    <w:qFormat/>
    <w:uiPriority w:val="99"/>
    <w:pPr>
      <w:keepNext/>
      <w:keepLines/>
      <w:tabs>
        <w:tab w:val="left" w:pos="0"/>
      </w:tabs>
      <w:suppressAutoHyphens/>
      <w:spacing w:before="260" w:after="260" w:line="412" w:lineRule="auto"/>
      <w:ind w:left="720" w:hanging="720"/>
      <w:outlineLvl w:val="2"/>
    </w:pPr>
    <w:rPr>
      <w:b/>
      <w:bCs/>
      <w:kern w:val="21"/>
      <w:sz w:val="32"/>
      <w:szCs w:val="32"/>
      <w:lang w:eastAsia="ar-SA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首行缩进 21"/>
    <w:basedOn w:val="3"/>
    <w:next w:val="4"/>
    <w:qFormat/>
    <w:uiPriority w:val="0"/>
    <w:pPr>
      <w:ind w:left="200" w:leftChars="200"/>
    </w:pPr>
    <w:rPr>
      <w:rFonts w:eastAsia="仿宋_GB2312"/>
      <w:sz w:val="32"/>
      <w:szCs w:val="32"/>
    </w:rPr>
  </w:style>
  <w:style w:type="paragraph" w:customStyle="1" w:styleId="3">
    <w:name w:val="正文文本缩进1"/>
    <w:basedOn w:val="1"/>
    <w:qFormat/>
    <w:uiPriority w:val="0"/>
    <w:pPr>
      <w:ind w:left="200" w:leftChars="200"/>
    </w:pPr>
    <w:rPr>
      <w:rFonts w:ascii="Calibri" w:hAnsi="Calibri" w:eastAsia="宋体" w:cs="Times New Roman"/>
    </w:rPr>
  </w:style>
  <w:style w:type="paragraph" w:styleId="4">
    <w:name w:val="Normal (Web)"/>
    <w:basedOn w:val="1"/>
    <w:next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caption"/>
    <w:basedOn w:val="1"/>
    <w:next w:val="1"/>
    <w:qFormat/>
    <w:uiPriority w:val="99"/>
    <w:pPr>
      <w:suppressLineNumbers/>
      <w:suppressAutoHyphens/>
      <w:spacing w:before="120" w:after="120"/>
    </w:pPr>
    <w:rPr>
      <w:rFonts w:cs="Mangal"/>
      <w:i/>
      <w:iCs/>
      <w:kern w:val="21"/>
      <w:sz w:val="24"/>
      <w:lang w:eastAsia="ar-SA"/>
    </w:rPr>
  </w:style>
  <w:style w:type="paragraph" w:styleId="8">
    <w:name w:val="Body Text"/>
    <w:basedOn w:val="1"/>
    <w:link w:val="29"/>
    <w:qFormat/>
    <w:uiPriority w:val="0"/>
    <w:pPr>
      <w:spacing w:after="120"/>
    </w:pPr>
  </w:style>
  <w:style w:type="paragraph" w:styleId="9">
    <w:name w:val="Date"/>
    <w:basedOn w:val="1"/>
    <w:next w:val="1"/>
    <w:link w:val="28"/>
    <w:semiHidden/>
    <w:unhideWhenUsed/>
    <w:qFormat/>
    <w:uiPriority w:val="99"/>
    <w:pPr>
      <w:ind w:left="100" w:leftChars="2500"/>
    </w:pPr>
  </w:style>
  <w:style w:type="paragraph" w:styleId="10">
    <w:name w:val="Balloon Text"/>
    <w:basedOn w:val="1"/>
    <w:link w:val="25"/>
    <w:semiHidden/>
    <w:unhideWhenUsed/>
    <w:qFormat/>
    <w:uiPriority w:val="99"/>
    <w:rPr>
      <w:sz w:val="18"/>
      <w:szCs w:val="18"/>
    </w:rPr>
  </w:style>
  <w:style w:type="paragraph" w:styleId="11">
    <w:name w:val="footer"/>
    <w:basedOn w:val="1"/>
    <w:link w:val="2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2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15">
    <w:name w:val="Table Grid"/>
    <w:basedOn w:val="1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7">
    <w:name w:val="Strong"/>
    <w:qFormat/>
    <w:uiPriority w:val="99"/>
    <w:rPr>
      <w:rFonts w:cs="Times New Roman"/>
      <w:b/>
    </w:rPr>
  </w:style>
  <w:style w:type="character" w:customStyle="1" w:styleId="18">
    <w:name w:val="标题 1 Char"/>
    <w:link w:val="5"/>
    <w:qFormat/>
    <w:locked/>
    <w:uiPriority w:val="99"/>
    <w:rPr>
      <w:rFonts w:cs="Times New Roman"/>
      <w:b/>
      <w:kern w:val="1"/>
      <w:sz w:val="44"/>
      <w:lang w:eastAsia="ar-SA" w:bidi="ar-SA"/>
    </w:rPr>
  </w:style>
  <w:style w:type="character" w:customStyle="1" w:styleId="19">
    <w:name w:val="标题 3 Char"/>
    <w:link w:val="6"/>
    <w:qFormat/>
    <w:locked/>
    <w:uiPriority w:val="99"/>
    <w:rPr>
      <w:rFonts w:cs="Times New Roman"/>
      <w:b/>
      <w:kern w:val="21"/>
      <w:sz w:val="32"/>
      <w:lang w:eastAsia="ar-SA" w:bidi="ar-SA"/>
    </w:rPr>
  </w:style>
  <w:style w:type="paragraph" w:styleId="20">
    <w:name w:val="List Paragraph"/>
    <w:basedOn w:val="1"/>
    <w:qFormat/>
    <w:uiPriority w:val="99"/>
    <w:pPr>
      <w:suppressAutoHyphens/>
      <w:ind w:firstLine="420" w:firstLineChars="200"/>
    </w:pPr>
    <w:rPr>
      <w:kern w:val="21"/>
      <w:lang w:eastAsia="ar-SA"/>
    </w:rPr>
  </w:style>
  <w:style w:type="paragraph" w:customStyle="1" w:styleId="21">
    <w:name w:val="段"/>
    <w:link w:val="22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22">
    <w:name w:val="段 Char"/>
    <w:link w:val="21"/>
    <w:qFormat/>
    <w:locked/>
    <w:uiPriority w:val="0"/>
    <w:rPr>
      <w:rFonts w:ascii="宋体" w:cs="Times New Roman"/>
      <w:sz w:val="21"/>
      <w:lang w:val="en-US" w:eastAsia="zh-CN" w:bidi="ar-SA"/>
    </w:rPr>
  </w:style>
  <w:style w:type="character" w:customStyle="1" w:styleId="23">
    <w:name w:val="页眉 Char"/>
    <w:link w:val="12"/>
    <w:qFormat/>
    <w:uiPriority w:val="99"/>
    <w:rPr>
      <w:sz w:val="18"/>
      <w:szCs w:val="18"/>
    </w:rPr>
  </w:style>
  <w:style w:type="character" w:customStyle="1" w:styleId="24">
    <w:name w:val="页脚 Char"/>
    <w:link w:val="11"/>
    <w:qFormat/>
    <w:uiPriority w:val="99"/>
    <w:rPr>
      <w:sz w:val="18"/>
      <w:szCs w:val="18"/>
    </w:rPr>
  </w:style>
  <w:style w:type="character" w:customStyle="1" w:styleId="25">
    <w:name w:val="批注框文本 Char"/>
    <w:link w:val="10"/>
    <w:semiHidden/>
    <w:qFormat/>
    <w:uiPriority w:val="99"/>
    <w:rPr>
      <w:kern w:val="2"/>
      <w:sz w:val="18"/>
      <w:szCs w:val="18"/>
    </w:rPr>
  </w:style>
  <w:style w:type="table" w:customStyle="1" w:styleId="26">
    <w:name w:val="浅色底纹1"/>
    <w:basedOn w:val="14"/>
    <w:qFormat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7">
    <w:name w:val="浅色底纹2"/>
    <w:basedOn w:val="14"/>
    <w:qFormat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28">
    <w:name w:val="日期 Char"/>
    <w:basedOn w:val="16"/>
    <w:link w:val="9"/>
    <w:semiHidden/>
    <w:qFormat/>
    <w:uiPriority w:val="99"/>
    <w:rPr>
      <w:kern w:val="2"/>
      <w:sz w:val="21"/>
      <w:szCs w:val="24"/>
    </w:rPr>
  </w:style>
  <w:style w:type="character" w:customStyle="1" w:styleId="29">
    <w:name w:val="正文文本 Char"/>
    <w:basedOn w:val="16"/>
    <w:link w:val="8"/>
    <w:qFormat/>
    <w:uiPriority w:val="0"/>
    <w:rPr>
      <w:kern w:val="2"/>
      <w:sz w:val="21"/>
      <w:szCs w:val="24"/>
    </w:rPr>
  </w:style>
  <w:style w:type="paragraph" w:customStyle="1" w:styleId="30">
    <w:name w:val="标准文件_段"/>
    <w:link w:val="31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31">
    <w:name w:val="标准文件_段 Char"/>
    <w:link w:val="30"/>
    <w:qFormat/>
    <w:uiPriority w:val="0"/>
    <w:rPr>
      <w:rFonts w:ascii="宋体"/>
      <w:sz w:val="21"/>
    </w:rPr>
  </w:style>
  <w:style w:type="paragraph" w:customStyle="1" w:styleId="32">
    <w:name w:val="一级条标题"/>
    <w:next w:val="21"/>
    <w:qFormat/>
    <w:uiPriority w:val="0"/>
    <w:pPr>
      <w:numPr>
        <w:ilvl w:val="1"/>
        <w:numId w:val="1"/>
      </w:numPr>
      <w:spacing w:before="156" w:beforeLines="50" w:after="156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33">
    <w:name w:val="二级条标题"/>
    <w:basedOn w:val="32"/>
    <w:next w:val="21"/>
    <w:qFormat/>
    <w:uiPriority w:val="0"/>
    <w:pPr>
      <w:numPr>
        <w:ilvl w:val="2"/>
        <w:numId w:val="1"/>
      </w:numPr>
      <w:spacing w:before="50" w:after="50"/>
      <w:outlineLvl w:val="3"/>
    </w:pPr>
  </w:style>
  <w:style w:type="paragraph" w:customStyle="1" w:styleId="34">
    <w:name w:val="附录表标题"/>
    <w:basedOn w:val="1"/>
    <w:next w:val="21"/>
    <w:qFormat/>
    <w:uiPriority w:val="0"/>
    <w:pPr>
      <w:numPr>
        <w:ilvl w:val="1"/>
        <w:numId w:val="2"/>
      </w:numPr>
      <w:tabs>
        <w:tab w:val="left" w:pos="180"/>
      </w:tabs>
      <w:spacing w:before="50" w:beforeLines="50" w:after="50" w:afterLines="50"/>
      <w:ind w:left="0" w:firstLine="0"/>
      <w:jc w:val="center"/>
    </w:pPr>
    <w:rPr>
      <w:rFonts w:ascii="黑体" w:eastAsia="黑体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7</Pages>
  <Words>4144</Words>
  <Characters>4430</Characters>
  <Lines>49</Lines>
  <Paragraphs>13</Paragraphs>
  <TotalTime>3</TotalTime>
  <ScaleCrop>false</ScaleCrop>
  <LinksUpToDate>false</LinksUpToDate>
  <CharactersWithSpaces>4520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2016-02-25T07:17:00Z</dcterms:created>
  <dc:creator>lenovo</dc:creator>
  <cp:lastModifiedBy>baixin</cp:lastModifiedBy>
  <cp:lastPrinted>2017-01-19T07:31:00Z</cp:lastPrinted>
  <dcterms:modified xsi:type="dcterms:W3CDTF">2024-08-07T11:07:07Z</dcterms:modified>
  <cp:revision>536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16DEC057891D4C0DB8764FBC7996C205_13</vt:lpwstr>
  </property>
</Properties>
</file>